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ascii="方正姚体" w:hAnsi="华文中宋" w:eastAsia="方正姚体"/>
          <w:bCs/>
          <w:color w:val="FF0000"/>
          <w:spacing w:val="-20"/>
          <w:kern w:val="0"/>
          <w:sz w:val="84"/>
          <w:szCs w:val="84"/>
        </w:rPr>
      </w:pPr>
      <w:bookmarkStart w:id="0" w:name="_Toc465849388"/>
      <w:r>
        <w:rPr>
          <w:rFonts w:ascii="微软雅黑" w:hAnsi="微软雅黑" w:eastAsia="微软雅黑" w:cs="微软雅黑"/>
          <w:color w:val="FF0000"/>
          <w:kern w:val="0"/>
          <w:sz w:val="84"/>
          <w:szCs w:val="84"/>
          <w:lang w:val="en-US" w:eastAsia="zh-CN" w:bidi="ar"/>
        </w:rPr>
        <w:t>石油工程学院文件</w:t>
      </w:r>
    </w:p>
    <w:p>
      <w:pPr>
        <w:jc w:val="center"/>
        <w:rPr>
          <w:rFonts w:ascii="宋体" w:hAnsi="宋体"/>
          <w:bCs/>
          <w:color w:val="000000"/>
          <w:spacing w:val="-20"/>
          <w:kern w:val="0"/>
          <w:sz w:val="28"/>
          <w:szCs w:val="28"/>
        </w:rPr>
      </w:pPr>
      <w:r>
        <w:rPr>
          <w:rFonts w:hint="eastAsia" w:ascii="宋体" w:hAnsi="宋体"/>
          <w:bCs/>
          <w:color w:val="000000"/>
          <w:spacing w:val="-20"/>
          <w:kern w:val="0"/>
          <w:sz w:val="28"/>
          <w:szCs w:val="28"/>
        </w:rPr>
        <w:t>石工</w:t>
      </w:r>
      <w:r>
        <w:rPr>
          <w:rFonts w:hint="eastAsia" w:ascii="仿宋_GB2312" w:hAnsi="Calibri" w:eastAsia="仿宋_GB2312"/>
          <w:color w:val="000000"/>
          <w:sz w:val="28"/>
        </w:rPr>
        <w:t>〔20</w:t>
      </w:r>
      <w:r>
        <w:rPr>
          <w:rFonts w:hint="eastAsia" w:ascii="仿宋_GB2312" w:hAnsi="Calibri" w:eastAsia="仿宋_GB2312"/>
          <w:color w:val="000000"/>
          <w:sz w:val="28"/>
          <w:lang w:val="en-US" w:eastAsia="zh-CN"/>
        </w:rPr>
        <w:t>20</w:t>
      </w:r>
      <w:r>
        <w:rPr>
          <w:rFonts w:hint="eastAsia" w:ascii="仿宋_GB2312" w:hAnsi="Calibri" w:eastAsia="仿宋_GB2312"/>
          <w:color w:val="000000"/>
          <w:sz w:val="28"/>
        </w:rPr>
        <w:t>年〕</w:t>
      </w:r>
      <w:r>
        <w:rPr>
          <w:rFonts w:hint="eastAsia" w:ascii="仿宋_GB2312" w:hAnsi="Calibri" w:eastAsia="仿宋_GB2312"/>
          <w:color w:val="000000"/>
          <w:sz w:val="28"/>
          <w:lang w:val="en-US" w:eastAsia="zh-CN"/>
        </w:rPr>
        <w:t>6</w:t>
      </w:r>
      <w:r>
        <w:rPr>
          <w:rFonts w:hint="eastAsia" w:ascii="仿宋_GB2312" w:hAnsi="Calibri" w:eastAsia="仿宋_GB2312"/>
          <w:color w:val="000000"/>
          <w:sz w:val="28"/>
        </w:rPr>
        <w:t>号</w:t>
      </w:r>
    </w:p>
    <w:p>
      <w:pPr>
        <w:widowControl/>
        <w:snapToGrid w:val="0"/>
        <w:spacing w:before="107" w:after="107"/>
        <w:rPr>
          <w:rFonts w:hint="eastAsia"/>
          <w:kern w:val="0"/>
          <w:szCs w:val="21"/>
        </w:rPr>
      </w:pPr>
      <w:r>
        <w:pict>
          <v:line id="直接连接符 1" o:spid="_x0000_s2050" o:spt="20" style="position:absolute;left:0pt;margin-left:-10.5pt;margin-top:4.65pt;height:0.75pt;width:438.75pt;z-index:251659264;mso-width-relative:page;mso-height-relative:page;" filled="f" stroked="t" coordsize="21600,21600" o:gfxdata="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dSYetgAAAAIAQAADwAAAAAAAAABACAAAAAiAAAA&#10;ZHJzL2Rvd25yZXYueG1sUEsBAhQAFAAAAAgAh07iQKS0psfOAQAAZwMAAA4AAAAAAAAAAQAgAAAA&#10;JwEAAGRycy9lMm9Eb2MueG1sUEsFBgAAAAAGAAYAWQEAAGcFAAAAAA==&#10;">
            <v:path arrowok="t"/>
            <v:fill on="f" focussize="0,0"/>
            <v:stroke weight="2pt" color="#FF0000" miterlimit="8" joinstyle="miter"/>
            <v:imagedata o:title=""/>
            <o:lock v:ext="edit" aspectratio="f"/>
          </v:line>
        </w:pict>
      </w:r>
    </w:p>
    <w:p>
      <w:pPr>
        <w:pStyle w:val="2"/>
        <w:ind w:firstLine="708" w:firstLineChars="196"/>
        <w:rPr>
          <w:rFonts w:ascii="Times New Roman" w:hAnsi="Times New Roman" w:cs="Times New Roman"/>
          <w:color w:val="000000"/>
          <w:sz w:val="36"/>
          <w:szCs w:val="36"/>
        </w:rPr>
      </w:pPr>
      <w:r>
        <w:rPr>
          <w:rFonts w:ascii="Times New Roman" w:hAnsi="Times New Roman" w:cs="Times New Roman"/>
          <w:sz w:val="36"/>
          <w:szCs w:val="36"/>
        </w:rPr>
        <w:t>石油工程学院</w:t>
      </w:r>
      <w:r>
        <w:rPr>
          <w:rFonts w:ascii="Times New Roman" w:hAnsi="Times New Roman" w:cs="Times New Roman"/>
          <w:color w:val="000000"/>
          <w:sz w:val="36"/>
          <w:szCs w:val="36"/>
        </w:rPr>
        <w:t>20</w:t>
      </w:r>
      <w:r>
        <w:rPr>
          <w:rFonts w:hint="eastAsia" w:ascii="Times New Roman" w:hAnsi="Times New Roman" w:cs="Times New Roman"/>
          <w:color w:val="000000"/>
          <w:sz w:val="36"/>
          <w:szCs w:val="36"/>
          <w:lang w:val="en-US" w:eastAsia="zh-CN"/>
        </w:rPr>
        <w:t>20</w:t>
      </w:r>
      <w:r>
        <w:rPr>
          <w:rFonts w:ascii="Times New Roman" w:hAnsi="Times New Roman" w:cs="Times New Roman"/>
          <w:sz w:val="36"/>
          <w:szCs w:val="36"/>
        </w:rPr>
        <w:t>年双学士学位实施细则</w:t>
      </w:r>
      <w:bookmarkEnd w:id="0"/>
    </w:p>
    <w:p>
      <w:pPr>
        <w:spacing w:line="360" w:lineRule="auto"/>
        <w:ind w:firstLine="560" w:firstLineChars="200"/>
        <w:rPr>
          <w:rFonts w:ascii="Times New Roman" w:hAnsi="Times New Roman" w:eastAsia="仿宋_GB2312" w:cs="Times New Roman"/>
          <w:color w:val="000000" w:themeColor="text1"/>
          <w:kern w:val="0"/>
          <w:sz w:val="28"/>
          <w:szCs w:val="28"/>
        </w:rPr>
      </w:pPr>
    </w:p>
    <w:p>
      <w:pPr>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为落实学校《关于</w:t>
      </w:r>
      <w:r>
        <w:rPr>
          <w:rFonts w:ascii="Times New Roman" w:hAnsi="Times New Roman" w:eastAsia="仿宋" w:cs="Times New Roman"/>
          <w:b/>
          <w:bCs/>
          <w:color w:val="000000" w:themeColor="text1"/>
          <w:sz w:val="28"/>
          <w:szCs w:val="28"/>
        </w:rPr>
        <w:t>20</w:t>
      </w:r>
      <w:r>
        <w:rPr>
          <w:rFonts w:hint="eastAsia" w:ascii="Times New Roman" w:hAnsi="Times New Roman" w:eastAsia="仿宋" w:cs="Times New Roman"/>
          <w:b/>
          <w:bCs/>
          <w:color w:val="000000" w:themeColor="text1"/>
          <w:sz w:val="28"/>
          <w:szCs w:val="28"/>
          <w:lang w:val="en-US" w:eastAsia="zh-CN"/>
        </w:rPr>
        <w:t>20</w:t>
      </w:r>
      <w:r>
        <w:rPr>
          <w:rFonts w:ascii="Times New Roman" w:hAnsi="Times New Roman" w:eastAsia="仿宋_GB2312" w:cs="Times New Roman"/>
          <w:color w:val="000000" w:themeColor="text1"/>
          <w:kern w:val="0"/>
          <w:sz w:val="28"/>
          <w:szCs w:val="28"/>
        </w:rPr>
        <w:t>年本科生转专业、双学士学位、外语特色班报名及录取工作的通知》的工作要求，根据《中国石油大学（北京）关于本科双学士学位培养办法</w:t>
      </w:r>
      <w:r>
        <w:rPr>
          <w:rFonts w:hint="eastAsia" w:ascii="Times New Roman" w:hAnsi="Times New Roman" w:eastAsia="仿宋_GB2312" w:cs="Times New Roman"/>
          <w:color w:val="000000" w:themeColor="text1"/>
          <w:kern w:val="0"/>
          <w:sz w:val="28"/>
          <w:szCs w:val="28"/>
        </w:rPr>
        <w:t>（修订）</w:t>
      </w:r>
      <w:r>
        <w:rPr>
          <w:rFonts w:ascii="Times New Roman" w:hAnsi="Times New Roman" w:eastAsia="仿宋_GB2312" w:cs="Times New Roman"/>
          <w:color w:val="000000" w:themeColor="text1"/>
          <w:kern w:val="0"/>
          <w:sz w:val="28"/>
          <w:szCs w:val="28"/>
        </w:rPr>
        <w:t>》的相关规定，制定此项办法，具体内容如下：</w:t>
      </w:r>
    </w:p>
    <w:p>
      <w:pPr>
        <w:numPr>
          <w:ilvl w:val="0"/>
          <w:numId w:val="1"/>
        </w:numPr>
        <w:adjustRightInd w:val="0"/>
        <w:snapToGrid w:val="0"/>
        <w:spacing w:line="288" w:lineRule="auto"/>
        <w:rPr>
          <w:rFonts w:ascii="Times New Roman" w:hAnsi="Times New Roman" w:eastAsia="仿宋_GB2312" w:cs="Times New Roman"/>
          <w:kern w:val="0"/>
          <w:sz w:val="28"/>
          <w:szCs w:val="28"/>
        </w:rPr>
      </w:pPr>
      <w:r>
        <w:rPr>
          <w:rFonts w:ascii="Times New Roman" w:hAnsi="Times New Roman" w:eastAsia="仿宋_GB2312" w:cs="Times New Roman"/>
          <w:b/>
          <w:bCs/>
          <w:kern w:val="0"/>
          <w:sz w:val="28"/>
          <w:szCs w:val="28"/>
        </w:rPr>
        <w:t>本学院报外专业双学士学位</w:t>
      </w:r>
      <w:r>
        <w:rPr>
          <w:rFonts w:ascii="Times New Roman" w:hAnsi="Times New Roman" w:eastAsia="仿宋_GB2312" w:cs="Times New Roman"/>
          <w:kern w:val="0"/>
          <w:sz w:val="28"/>
          <w:szCs w:val="28"/>
        </w:rPr>
        <w:t>     </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辅导员要向学生讲解学校有关双学位的规定，认真解答学生提出的问题。根据学生拟攻读的双学位专业所在学院的规定进行。</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本着自愿的原则，由学生自己决定是否攻读双学士学位和攻读何种专业。</w:t>
      </w:r>
    </w:p>
    <w:p>
      <w:pPr>
        <w:adjustRightInd w:val="0"/>
        <w:snapToGrid w:val="0"/>
        <w:spacing w:line="288" w:lineRule="auto"/>
        <w:rPr>
          <w:rFonts w:ascii="Times New Roman" w:hAnsi="Times New Roman" w:eastAsia="仿宋_GB2312" w:cs="Times New Roman"/>
          <w:b/>
          <w:bCs/>
          <w:color w:val="000000"/>
          <w:sz w:val="28"/>
          <w:szCs w:val="28"/>
        </w:rPr>
      </w:pPr>
      <w:r>
        <w:rPr>
          <w:rFonts w:ascii="Times New Roman" w:hAnsi="Times New Roman" w:eastAsia="仿宋_GB2312" w:cs="Times New Roman"/>
          <w:b/>
          <w:bCs/>
          <w:color w:val="000000"/>
          <w:sz w:val="28"/>
          <w:szCs w:val="28"/>
        </w:rPr>
        <w:t>二、石油工程双学士学位报名办法</w:t>
      </w:r>
    </w:p>
    <w:p>
      <w:pPr>
        <w:adjustRightInd w:val="0"/>
        <w:snapToGrid w:val="0"/>
        <w:spacing w:line="360" w:lineRule="auto"/>
        <w:ind w:firstLine="560" w:firstLineChars="200"/>
        <w:rPr>
          <w:rFonts w:ascii="Times New Roman" w:hAnsi="Times New Roman" w:eastAsia="仿宋_GB2312" w:cs="Times New Roman"/>
          <w:color w:val="000000" w:themeColor="text1"/>
          <w:sz w:val="28"/>
          <w:szCs w:val="28"/>
        </w:rPr>
      </w:pPr>
      <w:r>
        <w:rPr>
          <w:rFonts w:ascii="Times New Roman" w:hAnsi="Times New Roman" w:eastAsia="仿宋_GB2312" w:cs="Times New Roman"/>
          <w:color w:val="000000" w:themeColor="text1"/>
          <w:sz w:val="28"/>
          <w:szCs w:val="28"/>
        </w:rPr>
        <w:t>1.符合</w:t>
      </w:r>
      <w:r>
        <w:rPr>
          <w:rFonts w:ascii="Times New Roman" w:hAnsi="Times New Roman" w:eastAsia="仿宋_GB2312" w:cs="Times New Roman"/>
          <w:color w:val="000000" w:themeColor="text1"/>
          <w:kern w:val="0"/>
          <w:sz w:val="28"/>
          <w:szCs w:val="28"/>
        </w:rPr>
        <w:t>《中国石油大学（北京）关于本科生双学士学位培养办法（</w:t>
      </w:r>
      <w:r>
        <w:rPr>
          <w:rFonts w:hint="eastAsia" w:ascii="Times New Roman" w:hAnsi="Times New Roman" w:eastAsia="仿宋_GB2312" w:cs="Times New Roman"/>
          <w:color w:val="000000" w:themeColor="text1"/>
          <w:kern w:val="0"/>
          <w:sz w:val="28"/>
          <w:szCs w:val="28"/>
        </w:rPr>
        <w:t>修订</w:t>
      </w:r>
      <w:r>
        <w:rPr>
          <w:rFonts w:ascii="Times New Roman" w:hAnsi="Times New Roman" w:eastAsia="仿宋_GB2312" w:cs="Times New Roman"/>
          <w:color w:val="000000" w:themeColor="text1"/>
          <w:kern w:val="0"/>
          <w:sz w:val="28"/>
          <w:szCs w:val="28"/>
        </w:rPr>
        <w:t>）》的相关规定；</w:t>
      </w:r>
      <w:r>
        <w:rPr>
          <w:rFonts w:ascii="Times New Roman" w:hAnsi="Times New Roman" w:eastAsia="仿宋_GB2312" w:cs="Times New Roman"/>
          <w:color w:val="000000" w:themeColor="text1"/>
          <w:sz w:val="28"/>
          <w:szCs w:val="28"/>
        </w:rPr>
        <w:t>申请者必须为201</w:t>
      </w:r>
      <w:r>
        <w:rPr>
          <w:rFonts w:hint="eastAsia" w:ascii="Times New Roman" w:hAnsi="Times New Roman" w:eastAsia="仿宋_GB2312" w:cs="Times New Roman"/>
          <w:color w:val="000000" w:themeColor="text1"/>
          <w:sz w:val="28"/>
          <w:szCs w:val="28"/>
          <w:lang w:val="en-US" w:eastAsia="zh-CN"/>
        </w:rPr>
        <w:t>9</w:t>
      </w:r>
      <w:r>
        <w:rPr>
          <w:rFonts w:ascii="Times New Roman" w:hAnsi="Times New Roman" w:eastAsia="仿宋_GB2312" w:cs="Times New Roman"/>
          <w:color w:val="000000" w:themeColor="text1"/>
          <w:sz w:val="28"/>
          <w:szCs w:val="28"/>
        </w:rPr>
        <w:t>级各专业学生，学习态度端正、学有余力，报名必须提交</w:t>
      </w:r>
      <w:r>
        <w:rPr>
          <w:rFonts w:ascii="Times New Roman" w:hAnsi="Times New Roman" w:eastAsia="仿宋_GB2312" w:cs="Times New Roman"/>
          <w:color w:val="000000" w:themeColor="text1"/>
          <w:kern w:val="0"/>
          <w:sz w:val="28"/>
          <w:szCs w:val="28"/>
        </w:rPr>
        <w:t>“中国石油大学（北京）双学士学位、外语特色班报名审批表”</w:t>
      </w:r>
      <w:r>
        <w:rPr>
          <w:rFonts w:hint="eastAsia" w:ascii="Times New Roman" w:hAnsi="Times New Roman" w:eastAsia="仿宋_GB2312" w:cs="Times New Roman"/>
          <w:color w:val="000000" w:themeColor="text1"/>
          <w:kern w:val="0"/>
          <w:sz w:val="28"/>
          <w:szCs w:val="28"/>
        </w:rPr>
        <w:t>，</w:t>
      </w:r>
      <w:r>
        <w:rPr>
          <w:rFonts w:ascii="Times New Roman" w:hAnsi="Times New Roman" w:eastAsia="仿宋_GB2312" w:cs="Times New Roman"/>
          <w:color w:val="000000" w:themeColor="text1"/>
          <w:kern w:val="0"/>
          <w:sz w:val="28"/>
          <w:szCs w:val="28"/>
        </w:rPr>
        <w:t>由学生本人交</w:t>
      </w:r>
      <w:r>
        <w:rPr>
          <w:rFonts w:hint="eastAsia" w:ascii="Times New Roman" w:hAnsi="Times New Roman" w:eastAsia="仿宋_GB2312" w:cs="Times New Roman"/>
          <w:color w:val="000000" w:themeColor="text1"/>
          <w:kern w:val="0"/>
          <w:sz w:val="28"/>
          <w:szCs w:val="28"/>
          <w:lang w:val="en-US" w:eastAsia="zh-CN"/>
        </w:rPr>
        <w:t>至学院邮箱1905554633@qq.com</w:t>
      </w:r>
      <w:r>
        <w:rPr>
          <w:rFonts w:hint="eastAsia" w:ascii="Times New Roman" w:hAnsi="Times New Roman" w:eastAsia="仿宋_GB2312" w:cs="Times New Roman"/>
          <w:color w:val="000000" w:themeColor="text1"/>
          <w:kern w:val="0"/>
          <w:sz w:val="28"/>
          <w:szCs w:val="28"/>
        </w:rPr>
        <w:t>；</w:t>
      </w:r>
    </w:p>
    <w:p>
      <w:pPr>
        <w:adjustRightInd w:val="0"/>
        <w:snapToGrid w:val="0"/>
        <w:spacing w:line="360" w:lineRule="auto"/>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2</w:t>
      </w:r>
      <w:r>
        <w:rPr>
          <w:rFonts w:hint="eastAsia" w:ascii="Times New Roman" w:hAnsi="Times New Roman" w:eastAsia="仿宋_GB2312" w:cs="Times New Roman"/>
          <w:color w:val="000000"/>
          <w:sz w:val="28"/>
          <w:szCs w:val="28"/>
          <w:lang w:eastAsia="zh-CN"/>
        </w:rPr>
        <w:t>.</w:t>
      </w:r>
      <w:r>
        <w:rPr>
          <w:rFonts w:ascii="Times New Roman" w:hAnsi="Times New Roman" w:eastAsia="仿宋_GB2312" w:cs="Times New Roman"/>
          <w:color w:val="000000"/>
          <w:sz w:val="28"/>
          <w:szCs w:val="28"/>
        </w:rPr>
        <w:t>双学位报名人数在</w:t>
      </w:r>
      <w:r>
        <w:rPr>
          <w:rFonts w:hint="eastAsia" w:ascii="Times New Roman" w:hAnsi="Times New Roman" w:eastAsia="仿宋_GB2312" w:cs="Times New Roman"/>
          <w:color w:val="000000"/>
          <w:sz w:val="28"/>
          <w:szCs w:val="28"/>
        </w:rPr>
        <w:t>15</w:t>
      </w:r>
      <w:r>
        <w:rPr>
          <w:rFonts w:ascii="Times New Roman" w:hAnsi="Times New Roman" w:eastAsia="仿宋_GB2312" w:cs="Times New Roman"/>
          <w:color w:val="000000"/>
          <w:sz w:val="28"/>
          <w:szCs w:val="28"/>
        </w:rPr>
        <w:t>人</w:t>
      </w:r>
      <w:r>
        <w:rPr>
          <w:rFonts w:hint="eastAsia" w:ascii="Times New Roman" w:hAnsi="Times New Roman" w:eastAsia="仿宋_GB2312" w:cs="Times New Roman"/>
          <w:color w:val="000000"/>
          <w:sz w:val="28"/>
          <w:szCs w:val="28"/>
        </w:rPr>
        <w:t>（含）</w:t>
      </w:r>
      <w:r>
        <w:rPr>
          <w:rFonts w:ascii="Times New Roman" w:hAnsi="Times New Roman" w:eastAsia="仿宋_GB2312" w:cs="Times New Roman"/>
          <w:color w:val="000000"/>
          <w:sz w:val="28"/>
          <w:szCs w:val="28"/>
        </w:rPr>
        <w:t>以上者可以单独编班开课，录取人数</w:t>
      </w:r>
      <w:r>
        <w:rPr>
          <w:rFonts w:hint="eastAsia" w:ascii="Times New Roman" w:hAnsi="Times New Roman" w:eastAsia="仿宋_GB2312" w:cs="Times New Roman"/>
          <w:color w:val="000000"/>
          <w:sz w:val="28"/>
          <w:szCs w:val="28"/>
        </w:rPr>
        <w:t>以1个自然班为限；报名人数不足15人，则随石油工程普通班上课；学生可以利用四年时间完成培养方案所规定的学分要求。</w:t>
      </w:r>
    </w:p>
    <w:p>
      <w:pPr>
        <w:adjustRightInd w:val="0"/>
        <w:snapToGrid w:val="0"/>
        <w:spacing w:line="360" w:lineRule="auto"/>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3</w:t>
      </w:r>
      <w:r>
        <w:rPr>
          <w:rFonts w:ascii="Times New Roman" w:hAnsi="Times New Roman" w:eastAsia="仿宋_GB2312" w:cs="Times New Roman"/>
          <w:color w:val="000000"/>
          <w:sz w:val="28"/>
          <w:szCs w:val="28"/>
        </w:rPr>
        <w:t>.录取学生将根据学生基本情况由学院双学位工作小组选拔确定</w:t>
      </w:r>
      <w:r>
        <w:rPr>
          <w:rFonts w:hint="eastAsia" w:ascii="Times New Roman" w:hAnsi="Times New Roman" w:eastAsia="仿宋_GB2312" w:cs="Times New Roman"/>
          <w:color w:val="000000"/>
          <w:sz w:val="28"/>
          <w:szCs w:val="28"/>
        </w:rPr>
        <w:t>。</w:t>
      </w:r>
    </w:p>
    <w:p>
      <w:pPr>
        <w:adjustRightInd w:val="0"/>
        <w:snapToGrid w:val="0"/>
        <w:spacing w:line="360" w:lineRule="auto"/>
        <w:rPr>
          <w:rFonts w:ascii="Times New Roman" w:hAnsi="Times New Roman" w:eastAsia="仿宋_GB2312" w:cs="Times New Roman"/>
          <w:color w:val="000000" w:themeColor="text1"/>
          <w:kern w:val="0"/>
          <w:sz w:val="28"/>
          <w:szCs w:val="28"/>
        </w:rPr>
      </w:pPr>
      <w:r>
        <w:rPr>
          <w:rFonts w:hint="eastAsia" w:ascii="Times New Roman" w:hAnsi="Times New Roman" w:eastAsia="仿宋_GB2312" w:cs="Times New Roman"/>
          <w:b/>
          <w:bCs/>
          <w:color w:val="000000" w:themeColor="text1"/>
          <w:sz w:val="28"/>
          <w:szCs w:val="28"/>
        </w:rPr>
        <w:t>三、</w:t>
      </w:r>
      <w:r>
        <w:rPr>
          <w:rFonts w:ascii="Times New Roman" w:hAnsi="Times New Roman" w:eastAsia="仿宋_GB2312" w:cs="Times New Roman"/>
          <w:b/>
          <w:bCs/>
          <w:color w:val="000000" w:themeColor="text1"/>
          <w:sz w:val="28"/>
          <w:szCs w:val="28"/>
        </w:rPr>
        <w:t>石油工程双学士学位上课、选课及成绩管理</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hint="eastAsia" w:ascii="Times New Roman" w:hAnsi="Times New Roman" w:eastAsia="仿宋_GB2312" w:cs="Times New Roman"/>
          <w:color w:val="000000" w:themeColor="text1"/>
          <w:kern w:val="0"/>
          <w:sz w:val="28"/>
          <w:szCs w:val="28"/>
        </w:rPr>
        <w:t xml:space="preserve">1. </w:t>
      </w:r>
      <w:r>
        <w:rPr>
          <w:rFonts w:ascii="Times New Roman" w:hAnsi="Times New Roman" w:eastAsia="仿宋_GB2312" w:cs="Times New Roman"/>
          <w:color w:val="000000" w:themeColor="text1"/>
          <w:kern w:val="0"/>
          <w:sz w:val="28"/>
          <w:szCs w:val="28"/>
        </w:rPr>
        <w:t>视学生报名情况，石油工程双学士学位的课程学习将采取随班听课或单独组班开课的方法组织教学</w:t>
      </w:r>
      <w:r>
        <w:rPr>
          <w:rFonts w:hint="eastAsia" w:ascii="Times New Roman" w:hAnsi="Times New Roman" w:eastAsia="仿宋_GB2312" w:cs="Times New Roman"/>
          <w:color w:val="000000" w:themeColor="text1"/>
          <w:kern w:val="0"/>
          <w:sz w:val="28"/>
          <w:szCs w:val="28"/>
        </w:rPr>
        <w:t>;</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2</w:t>
      </w:r>
      <w:r>
        <w:rPr>
          <w:rFonts w:hint="eastAsia" w:ascii="Times New Roman" w:hAnsi="Times New Roman" w:eastAsia="仿宋_GB2312" w:cs="Times New Roman"/>
          <w:color w:val="000000" w:themeColor="text1"/>
          <w:kern w:val="0"/>
          <w:sz w:val="28"/>
          <w:szCs w:val="28"/>
        </w:rPr>
        <w:t>.已被录取为石油工程</w:t>
      </w:r>
      <w:r>
        <w:rPr>
          <w:rFonts w:ascii="Times New Roman" w:hAnsi="Times New Roman" w:eastAsia="仿宋_GB2312" w:cs="Times New Roman"/>
          <w:color w:val="000000" w:themeColor="text1"/>
          <w:kern w:val="0"/>
          <w:sz w:val="28"/>
          <w:szCs w:val="28"/>
        </w:rPr>
        <w:t>双学士学位的学生，应</w:t>
      </w:r>
      <w:r>
        <w:rPr>
          <w:rFonts w:hint="eastAsia" w:ascii="Times New Roman" w:hAnsi="Times New Roman" w:eastAsia="仿宋_GB2312" w:cs="Times New Roman"/>
          <w:color w:val="000000" w:themeColor="text1"/>
          <w:kern w:val="0"/>
          <w:sz w:val="28"/>
          <w:szCs w:val="28"/>
        </w:rPr>
        <w:t>在录取后登录综合教务系统注册石油工程双学位培养方案（选择与自己年级相同的双学位培养方案）、完成选课、核实</w:t>
      </w:r>
      <w:r>
        <w:rPr>
          <w:rFonts w:ascii="Times New Roman" w:hAnsi="Times New Roman" w:eastAsia="仿宋_GB2312" w:cs="Times New Roman"/>
          <w:color w:val="000000" w:themeColor="text1"/>
          <w:kern w:val="0"/>
          <w:sz w:val="28"/>
          <w:szCs w:val="28"/>
        </w:rPr>
        <w:t>缴费</w:t>
      </w:r>
      <w:r>
        <w:rPr>
          <w:rFonts w:hint="eastAsia" w:ascii="Times New Roman" w:hAnsi="Times New Roman" w:eastAsia="仿宋_GB2312" w:cs="Times New Roman"/>
          <w:color w:val="000000" w:themeColor="text1"/>
          <w:kern w:val="0"/>
          <w:sz w:val="28"/>
          <w:szCs w:val="28"/>
        </w:rPr>
        <w:t>等事宜；</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3</w:t>
      </w:r>
      <w:r>
        <w:rPr>
          <w:rFonts w:hint="eastAsia" w:ascii="Times New Roman" w:hAnsi="Times New Roman" w:eastAsia="仿宋_GB2312" w:cs="Times New Roman"/>
          <w:color w:val="000000" w:themeColor="text1"/>
          <w:kern w:val="0"/>
          <w:sz w:val="28"/>
          <w:szCs w:val="28"/>
        </w:rPr>
        <w:t>.学生</w:t>
      </w:r>
      <w:r>
        <w:rPr>
          <w:rFonts w:ascii="Times New Roman" w:hAnsi="Times New Roman" w:eastAsia="仿宋_GB2312" w:cs="Times New Roman"/>
          <w:color w:val="000000" w:themeColor="text1"/>
          <w:kern w:val="0"/>
          <w:sz w:val="28"/>
          <w:szCs w:val="28"/>
        </w:rPr>
        <w:t>若因课程冲突，部分课程可采取免听、部分免听的方式修读</w:t>
      </w:r>
      <w:r>
        <w:rPr>
          <w:rFonts w:hint="eastAsia" w:ascii="Times New Roman" w:hAnsi="Times New Roman" w:eastAsia="仿宋_GB2312" w:cs="Times New Roman"/>
          <w:color w:val="000000" w:themeColor="text1"/>
          <w:kern w:val="0"/>
          <w:sz w:val="28"/>
          <w:szCs w:val="28"/>
        </w:rPr>
        <w:t>。</w:t>
      </w:r>
      <w:r>
        <w:rPr>
          <w:rFonts w:ascii="Times New Roman" w:hAnsi="Times New Roman" w:eastAsia="仿宋_GB2312" w:cs="Times New Roman"/>
          <w:color w:val="000000" w:themeColor="text1"/>
          <w:kern w:val="0"/>
          <w:sz w:val="28"/>
          <w:szCs w:val="28"/>
        </w:rPr>
        <w:t>必须在开课的学期初办理免听手续，填写双学士学位免听申请表，经任课教师和石油工程专业负责人批准，交</w:t>
      </w:r>
      <w:r>
        <w:rPr>
          <w:rFonts w:hint="eastAsia" w:ascii="Times New Roman" w:hAnsi="Times New Roman" w:eastAsia="仿宋_GB2312" w:cs="Times New Roman"/>
          <w:color w:val="000000" w:themeColor="text1"/>
          <w:kern w:val="0"/>
          <w:sz w:val="28"/>
          <w:szCs w:val="28"/>
        </w:rPr>
        <w:t>学</w:t>
      </w:r>
      <w:r>
        <w:rPr>
          <w:rFonts w:ascii="Times New Roman" w:hAnsi="Times New Roman" w:eastAsia="仿宋_GB2312" w:cs="Times New Roman"/>
          <w:color w:val="000000" w:themeColor="text1"/>
          <w:kern w:val="0"/>
          <w:sz w:val="28"/>
          <w:szCs w:val="28"/>
        </w:rPr>
        <w:t>院备案，方可参加课程期末考试。</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4</w:t>
      </w:r>
      <w:r>
        <w:rPr>
          <w:rFonts w:hint="eastAsia" w:ascii="Times New Roman" w:hAnsi="Times New Roman" w:eastAsia="仿宋_GB2312" w:cs="Times New Roman"/>
          <w:color w:val="000000" w:themeColor="text1"/>
          <w:kern w:val="0"/>
          <w:sz w:val="28"/>
          <w:szCs w:val="28"/>
        </w:rPr>
        <w:t>.</w:t>
      </w:r>
      <w:r>
        <w:rPr>
          <w:rFonts w:ascii="Times New Roman" w:hAnsi="Times New Roman" w:eastAsia="仿宋_GB2312" w:cs="Times New Roman"/>
          <w:b/>
          <w:bCs/>
          <w:color w:val="000000" w:themeColor="text1"/>
          <w:sz w:val="28"/>
          <w:szCs w:val="28"/>
        </w:rPr>
        <w:t xml:space="preserve"> </w:t>
      </w:r>
      <w:r>
        <w:rPr>
          <w:rFonts w:ascii="Times New Roman" w:hAnsi="Times New Roman" w:eastAsia="仿宋_GB2312" w:cs="Times New Roman"/>
          <w:color w:val="000000" w:themeColor="text1"/>
          <w:kern w:val="0"/>
          <w:sz w:val="28"/>
          <w:szCs w:val="28"/>
        </w:rPr>
        <w:t>石油工程双学士学位课程的考试将安排在学期末或下学期开学初</w:t>
      </w:r>
      <w:r>
        <w:rPr>
          <w:rFonts w:hint="eastAsia" w:ascii="Times New Roman" w:hAnsi="Times New Roman" w:eastAsia="仿宋_GB2312" w:cs="Times New Roman"/>
          <w:color w:val="000000" w:themeColor="text1"/>
          <w:kern w:val="0"/>
          <w:sz w:val="28"/>
          <w:szCs w:val="28"/>
        </w:rPr>
        <w:t>。</w:t>
      </w:r>
      <w:r>
        <w:rPr>
          <w:rFonts w:ascii="Times New Roman" w:hAnsi="Times New Roman" w:eastAsia="仿宋_GB2312" w:cs="Times New Roman"/>
          <w:color w:val="000000" w:themeColor="text1"/>
          <w:kern w:val="0"/>
          <w:sz w:val="28"/>
          <w:szCs w:val="28"/>
        </w:rPr>
        <w:t>重修或补考的办理及要求同其它课程</w:t>
      </w:r>
      <w:r>
        <w:rPr>
          <w:rFonts w:hint="eastAsia" w:ascii="Times New Roman" w:hAnsi="Times New Roman" w:eastAsia="仿宋_GB2312" w:cs="Times New Roman"/>
          <w:color w:val="000000" w:themeColor="text1"/>
          <w:kern w:val="0"/>
          <w:sz w:val="28"/>
          <w:szCs w:val="28"/>
        </w:rPr>
        <w:t>。</w:t>
      </w:r>
    </w:p>
    <w:p>
      <w:pPr>
        <w:adjustRightInd w:val="0"/>
        <w:snapToGrid w:val="0"/>
        <w:spacing w:line="360" w:lineRule="auto"/>
        <w:rPr>
          <w:rFonts w:ascii="Times New Roman" w:hAnsi="Times New Roman" w:eastAsia="仿宋_GB2312" w:cs="Times New Roman"/>
          <w:b/>
          <w:bCs/>
          <w:color w:val="000000" w:themeColor="text1"/>
          <w:sz w:val="28"/>
          <w:szCs w:val="28"/>
        </w:rPr>
      </w:pPr>
      <w:r>
        <w:rPr>
          <w:rFonts w:hint="eastAsia" w:ascii="Times New Roman" w:hAnsi="Times New Roman" w:eastAsia="仿宋_GB2312" w:cs="Times New Roman"/>
          <w:b/>
          <w:bCs/>
          <w:color w:val="000000" w:themeColor="text1"/>
          <w:sz w:val="28"/>
          <w:szCs w:val="28"/>
        </w:rPr>
        <w:t>四、</w:t>
      </w:r>
      <w:r>
        <w:rPr>
          <w:rFonts w:ascii="Times New Roman" w:hAnsi="Times New Roman" w:eastAsia="仿宋_GB2312" w:cs="Times New Roman"/>
          <w:b/>
          <w:bCs/>
          <w:color w:val="000000" w:themeColor="text1"/>
          <w:sz w:val="28"/>
          <w:szCs w:val="28"/>
        </w:rPr>
        <w:t>石油工程双学士学位</w:t>
      </w:r>
      <w:r>
        <w:rPr>
          <w:rFonts w:hint="eastAsia" w:ascii="Times New Roman" w:hAnsi="Times New Roman" w:eastAsia="仿宋_GB2312" w:cs="Times New Roman"/>
          <w:b/>
          <w:bCs/>
          <w:color w:val="000000" w:themeColor="text1"/>
          <w:sz w:val="28"/>
          <w:szCs w:val="28"/>
        </w:rPr>
        <w:t>毕业及学位授予</w:t>
      </w:r>
    </w:p>
    <w:p>
      <w:pPr>
        <w:adjustRightInd w:val="0"/>
        <w:snapToGrid w:val="0"/>
        <w:spacing w:line="360" w:lineRule="auto"/>
        <w:rPr>
          <w:rFonts w:ascii="Times New Roman" w:hAnsi="Times New Roman" w:eastAsia="仿宋_GB2312" w:cs="Times New Roman"/>
          <w:color w:val="000000" w:themeColor="text1"/>
          <w:kern w:val="0"/>
          <w:sz w:val="28"/>
          <w:szCs w:val="28"/>
        </w:rPr>
      </w:pPr>
      <w:r>
        <w:rPr>
          <w:rFonts w:hint="eastAsia" w:ascii="Times New Roman" w:hAnsi="Times New Roman" w:eastAsia="仿宋_GB2312" w:cs="Times New Roman"/>
          <w:color w:val="000000" w:themeColor="text1"/>
          <w:sz w:val="28"/>
          <w:szCs w:val="28"/>
        </w:rPr>
        <w:t xml:space="preserve">    </w:t>
      </w:r>
      <w:r>
        <w:rPr>
          <w:rFonts w:hint="eastAsia" w:ascii="Times New Roman" w:hAnsi="Times New Roman" w:eastAsia="仿宋_GB2312" w:cs="Times New Roman"/>
          <w:color w:val="000000" w:themeColor="text1"/>
          <w:kern w:val="0"/>
          <w:sz w:val="28"/>
          <w:szCs w:val="28"/>
        </w:rPr>
        <w:t>1.</w:t>
      </w:r>
      <w:r>
        <w:rPr>
          <w:rFonts w:ascii="Times New Roman" w:hAnsi="Times New Roman" w:eastAsia="仿宋_GB2312" w:cs="Times New Roman"/>
          <w:color w:val="000000" w:themeColor="text1"/>
          <w:kern w:val="0"/>
          <w:sz w:val="28"/>
          <w:szCs w:val="28"/>
        </w:rPr>
        <w:t>学生在主修专业毕业时未修满石油工程双学士学位专业培养计划规定的学分，</w:t>
      </w:r>
      <w:r>
        <w:rPr>
          <w:rFonts w:hint="eastAsia" w:ascii="Times New Roman" w:hAnsi="Times New Roman" w:eastAsia="仿宋_GB2312" w:cs="Times New Roman"/>
          <w:color w:val="000000" w:themeColor="text1"/>
          <w:kern w:val="0"/>
          <w:sz w:val="28"/>
          <w:szCs w:val="28"/>
        </w:rPr>
        <w:t>可</w:t>
      </w:r>
      <w:r>
        <w:rPr>
          <w:rFonts w:ascii="Times New Roman" w:hAnsi="Times New Roman" w:eastAsia="仿宋_GB2312" w:cs="Times New Roman"/>
          <w:color w:val="000000" w:themeColor="text1"/>
          <w:kern w:val="0"/>
          <w:sz w:val="28"/>
          <w:szCs w:val="28"/>
        </w:rPr>
        <w:t>在毕业后</w:t>
      </w:r>
      <w:r>
        <w:rPr>
          <w:rFonts w:hint="eastAsia" w:ascii="Times New Roman" w:hAnsi="Times New Roman" w:eastAsia="仿宋_GB2312" w:cs="Times New Roman"/>
          <w:color w:val="000000" w:themeColor="text1"/>
          <w:kern w:val="0"/>
          <w:sz w:val="28"/>
          <w:szCs w:val="28"/>
        </w:rPr>
        <w:t>两</w:t>
      </w:r>
      <w:r>
        <w:rPr>
          <w:rFonts w:ascii="Times New Roman" w:hAnsi="Times New Roman" w:eastAsia="仿宋_GB2312" w:cs="Times New Roman"/>
          <w:color w:val="000000" w:themeColor="text1"/>
          <w:kern w:val="0"/>
          <w:sz w:val="28"/>
          <w:szCs w:val="28"/>
        </w:rPr>
        <w:t>年内回校补修</w:t>
      </w:r>
      <w:r>
        <w:rPr>
          <w:rFonts w:hint="eastAsia" w:ascii="Times New Roman" w:hAnsi="Times New Roman" w:eastAsia="仿宋_GB2312" w:cs="Times New Roman"/>
          <w:color w:val="000000" w:themeColor="text1"/>
          <w:kern w:val="0"/>
          <w:sz w:val="28"/>
          <w:szCs w:val="28"/>
        </w:rPr>
        <w:t>相关环节</w:t>
      </w:r>
      <w:r>
        <w:rPr>
          <w:rFonts w:ascii="Times New Roman" w:hAnsi="Times New Roman" w:eastAsia="仿宋_GB2312" w:cs="Times New Roman"/>
          <w:color w:val="000000" w:themeColor="text1"/>
          <w:kern w:val="0"/>
          <w:sz w:val="28"/>
          <w:szCs w:val="28"/>
        </w:rPr>
        <w:t>学分</w:t>
      </w:r>
      <w:r>
        <w:rPr>
          <w:rFonts w:hint="eastAsia" w:ascii="Times New Roman" w:hAnsi="Times New Roman" w:eastAsia="仿宋_GB2312" w:cs="Times New Roman"/>
          <w:color w:val="000000" w:themeColor="text1"/>
          <w:kern w:val="0"/>
          <w:sz w:val="28"/>
          <w:szCs w:val="28"/>
        </w:rPr>
        <w:t>，</w:t>
      </w:r>
      <w:r>
        <w:rPr>
          <w:rFonts w:ascii="Times New Roman" w:hAnsi="Times New Roman" w:eastAsia="仿宋_GB2312" w:cs="Times New Roman"/>
          <w:color w:val="000000" w:themeColor="text1"/>
          <w:kern w:val="0"/>
          <w:sz w:val="28"/>
          <w:szCs w:val="28"/>
        </w:rPr>
        <w:t>达到石油工程双学士学位授予条件的可获得石油工程双学士学位证书</w:t>
      </w:r>
      <w:r>
        <w:rPr>
          <w:rFonts w:hint="eastAsia" w:ascii="Times New Roman" w:hAnsi="Times New Roman" w:eastAsia="仿宋_GB2312" w:cs="Times New Roman"/>
          <w:color w:val="000000" w:themeColor="text1"/>
          <w:kern w:val="0"/>
          <w:sz w:val="28"/>
          <w:szCs w:val="28"/>
        </w:rPr>
        <w:t>，达到</w:t>
      </w:r>
      <w:r>
        <w:rPr>
          <w:rFonts w:ascii="Times New Roman" w:hAnsi="Times New Roman" w:eastAsia="仿宋_GB2312" w:cs="Times New Roman"/>
          <w:color w:val="000000" w:themeColor="text1"/>
          <w:kern w:val="0"/>
          <w:sz w:val="28"/>
          <w:szCs w:val="28"/>
        </w:rPr>
        <w:t>辅修</w:t>
      </w:r>
      <w:r>
        <w:rPr>
          <w:rFonts w:hint="eastAsia" w:ascii="Times New Roman" w:hAnsi="Times New Roman" w:eastAsia="仿宋_GB2312" w:cs="Times New Roman"/>
          <w:color w:val="000000" w:themeColor="text1"/>
          <w:kern w:val="0"/>
          <w:sz w:val="28"/>
          <w:szCs w:val="28"/>
        </w:rPr>
        <w:t>合格</w:t>
      </w:r>
      <w:r>
        <w:rPr>
          <w:rFonts w:ascii="Times New Roman" w:hAnsi="Times New Roman" w:eastAsia="仿宋_GB2312" w:cs="Times New Roman"/>
          <w:color w:val="000000" w:themeColor="text1"/>
          <w:kern w:val="0"/>
          <w:sz w:val="28"/>
          <w:szCs w:val="28"/>
        </w:rPr>
        <w:t>标准的可获得石油工程辅修专业证书</w:t>
      </w:r>
      <w:r>
        <w:rPr>
          <w:rFonts w:hint="eastAsia" w:ascii="Times New Roman" w:hAnsi="Times New Roman" w:eastAsia="仿宋_GB2312" w:cs="Times New Roman"/>
          <w:color w:val="000000" w:themeColor="text1"/>
          <w:kern w:val="0"/>
          <w:sz w:val="28"/>
          <w:szCs w:val="28"/>
        </w:rPr>
        <w:t>。</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hint="eastAsia" w:ascii="Times New Roman" w:hAnsi="Times New Roman" w:eastAsia="仿宋_GB2312" w:cs="Times New Roman"/>
          <w:color w:val="000000" w:themeColor="text1"/>
          <w:kern w:val="0"/>
          <w:sz w:val="28"/>
          <w:szCs w:val="28"/>
        </w:rPr>
        <w:t>2.</w:t>
      </w:r>
      <w:r>
        <w:rPr>
          <w:rFonts w:ascii="Times New Roman" w:hAnsi="Times New Roman" w:eastAsia="仿宋_GB2312" w:cs="Times New Roman"/>
          <w:color w:val="000000" w:themeColor="text1"/>
          <w:kern w:val="0"/>
          <w:sz w:val="28"/>
          <w:szCs w:val="28"/>
        </w:rPr>
        <w:t>按石油工程双学士学位培养与石油工程辅修专业培养计划的要求，对于未达到石油工程双学士学位培养计划要求但达到石油工程辅修专业合格标准者，可给予石油工程辅修专业证书；低于石油工程辅修专业合格标准者，所修学分将计入主修专业</w:t>
      </w:r>
      <w:r>
        <w:rPr>
          <w:rFonts w:hint="eastAsia" w:ascii="Times New Roman" w:hAnsi="Times New Roman" w:eastAsia="仿宋_GB2312" w:cs="Times New Roman"/>
          <w:color w:val="000000" w:themeColor="text1"/>
          <w:kern w:val="0"/>
          <w:sz w:val="28"/>
          <w:szCs w:val="28"/>
        </w:rPr>
        <w:t>任选</w:t>
      </w:r>
      <w:r>
        <w:rPr>
          <w:rFonts w:ascii="Times New Roman" w:hAnsi="Times New Roman" w:eastAsia="仿宋_GB2312" w:cs="Times New Roman"/>
          <w:color w:val="000000" w:themeColor="text1"/>
          <w:kern w:val="0"/>
          <w:sz w:val="28"/>
          <w:szCs w:val="28"/>
        </w:rPr>
        <w:t>课学分。</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hint="eastAsia" w:ascii="Times New Roman" w:hAnsi="Times New Roman" w:eastAsia="仿宋_GB2312" w:cs="Times New Roman"/>
          <w:color w:val="000000" w:themeColor="text1"/>
          <w:kern w:val="0"/>
          <w:sz w:val="28"/>
          <w:szCs w:val="28"/>
        </w:rPr>
        <w:t>3</w:t>
      </w:r>
      <w:r>
        <w:rPr>
          <w:rFonts w:ascii="Times New Roman" w:hAnsi="Times New Roman" w:eastAsia="仿宋_GB2312" w:cs="Times New Roman"/>
          <w:color w:val="000000" w:themeColor="text1"/>
          <w:kern w:val="0"/>
          <w:sz w:val="28"/>
          <w:szCs w:val="28"/>
        </w:rPr>
        <w:t>.按照石油工程（双学士学位）专业培养计划中所规定的对修读学分的不同具体要求，学生可以选择获得石油工程双学位学士学位证书</w:t>
      </w:r>
      <w:r>
        <w:rPr>
          <w:rFonts w:hint="eastAsia" w:ascii="Times New Roman" w:hAnsi="Times New Roman" w:eastAsia="仿宋_GB2312" w:cs="Times New Roman"/>
          <w:color w:val="000000" w:themeColor="text1"/>
          <w:kern w:val="0"/>
          <w:sz w:val="28"/>
          <w:szCs w:val="28"/>
        </w:rPr>
        <w:t>或者</w:t>
      </w:r>
      <w:r>
        <w:rPr>
          <w:rFonts w:ascii="Times New Roman" w:hAnsi="Times New Roman" w:eastAsia="仿宋_GB2312" w:cs="Times New Roman"/>
          <w:color w:val="000000" w:themeColor="text1"/>
          <w:kern w:val="0"/>
          <w:sz w:val="28"/>
          <w:szCs w:val="28"/>
        </w:rPr>
        <w:t>石油工程辅修专业证书；</w:t>
      </w:r>
    </w:p>
    <w:p>
      <w:pPr>
        <w:adjustRightInd w:val="0"/>
        <w:snapToGrid w:val="0"/>
        <w:spacing w:line="360" w:lineRule="auto"/>
        <w:rPr>
          <w:rFonts w:ascii="Times New Roman" w:hAnsi="Times New Roman" w:eastAsia="仿宋_GB2312" w:cs="Times New Roman"/>
          <w:b/>
          <w:bCs/>
          <w:color w:val="000000" w:themeColor="text1"/>
          <w:sz w:val="28"/>
          <w:szCs w:val="28"/>
        </w:rPr>
      </w:pPr>
      <w:r>
        <w:rPr>
          <w:rFonts w:hint="eastAsia" w:ascii="Times New Roman" w:hAnsi="Times New Roman" w:eastAsia="仿宋_GB2312" w:cs="Times New Roman"/>
          <w:b/>
          <w:bCs/>
          <w:color w:val="000000" w:themeColor="text1"/>
          <w:sz w:val="28"/>
          <w:szCs w:val="28"/>
        </w:rPr>
        <w:t>五、</w:t>
      </w:r>
      <w:bookmarkStart w:id="1" w:name="_Toc469659189"/>
      <w:bookmarkStart w:id="2" w:name="_Toc467162452"/>
      <w:bookmarkStart w:id="3" w:name="_Toc467162336"/>
      <w:bookmarkStart w:id="4" w:name="_Toc466386487"/>
      <w:bookmarkStart w:id="5" w:name="_Toc466385961"/>
      <w:r>
        <w:rPr>
          <w:rFonts w:hint="eastAsia" w:ascii="Times New Roman" w:hAnsi="Times New Roman" w:eastAsia="仿宋_GB2312" w:cs="Times New Roman"/>
          <w:b/>
          <w:bCs/>
          <w:color w:val="000000" w:themeColor="text1"/>
          <w:sz w:val="28"/>
          <w:szCs w:val="28"/>
        </w:rPr>
        <w:t>石油工程双学士学位</w:t>
      </w:r>
      <w:r>
        <w:rPr>
          <w:rFonts w:ascii="Times New Roman" w:hAnsi="Times New Roman" w:eastAsia="仿宋_GB2312" w:cs="Times New Roman"/>
          <w:b/>
          <w:bCs/>
          <w:color w:val="000000" w:themeColor="text1"/>
          <w:sz w:val="28"/>
          <w:szCs w:val="28"/>
        </w:rPr>
        <w:t>收费</w:t>
      </w:r>
      <w:bookmarkEnd w:id="1"/>
      <w:bookmarkEnd w:id="2"/>
      <w:bookmarkEnd w:id="3"/>
      <w:bookmarkEnd w:id="4"/>
      <w:bookmarkEnd w:id="5"/>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bookmarkStart w:id="6" w:name="_GoBack"/>
      <w:bookmarkEnd w:id="6"/>
      <w:r>
        <w:rPr>
          <w:rFonts w:hint="eastAsia" w:ascii="Times New Roman" w:hAnsi="Times New Roman" w:eastAsia="仿宋_GB2312" w:cs="Times New Roman"/>
          <w:color w:val="000000" w:themeColor="text1"/>
          <w:kern w:val="0"/>
          <w:sz w:val="28"/>
          <w:szCs w:val="28"/>
        </w:rPr>
        <w:t>石油工程</w:t>
      </w:r>
      <w:r>
        <w:rPr>
          <w:rFonts w:ascii="Times New Roman" w:hAnsi="Times New Roman" w:eastAsia="仿宋_GB2312" w:cs="Times New Roman"/>
          <w:color w:val="000000" w:themeColor="text1"/>
          <w:kern w:val="0"/>
          <w:sz w:val="28"/>
          <w:szCs w:val="28"/>
        </w:rPr>
        <w:t>双学士学位</w:t>
      </w:r>
      <w:r>
        <w:rPr>
          <w:rFonts w:hint="eastAsia" w:ascii="Times New Roman" w:hAnsi="Times New Roman" w:eastAsia="仿宋_GB2312" w:cs="Times New Roman"/>
          <w:color w:val="000000" w:themeColor="text1"/>
          <w:kern w:val="0"/>
          <w:sz w:val="28"/>
          <w:szCs w:val="28"/>
        </w:rPr>
        <w:t>的收费标准为石油工程专业一学年的学费，实行一次性收费。</w:t>
      </w:r>
    </w:p>
    <w:p>
      <w:pPr>
        <w:adjustRightInd w:val="0"/>
        <w:snapToGrid w:val="0"/>
        <w:spacing w:line="360" w:lineRule="auto"/>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b/>
          <w:bCs/>
          <w:color w:val="000000" w:themeColor="text1"/>
          <w:sz w:val="28"/>
          <w:szCs w:val="28"/>
        </w:rPr>
        <w:t>六、时间安排</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1.</w:t>
      </w:r>
      <w:r>
        <w:rPr>
          <w:rFonts w:hint="eastAsia" w:ascii="Times New Roman" w:hAnsi="Times New Roman" w:eastAsia="仿宋_GB2312" w:cs="Times New Roman"/>
          <w:color w:val="000000" w:themeColor="text1"/>
          <w:kern w:val="0"/>
          <w:sz w:val="28"/>
          <w:szCs w:val="28"/>
        </w:rPr>
        <w:t xml:space="preserve"> </w:t>
      </w:r>
      <w:r>
        <w:rPr>
          <w:rFonts w:ascii="Times New Roman" w:hAnsi="Times New Roman" w:eastAsia="仿宋_GB2312" w:cs="Times New Roman"/>
          <w:color w:val="000000" w:themeColor="text1"/>
          <w:kern w:val="0"/>
          <w:sz w:val="28"/>
          <w:szCs w:val="28"/>
        </w:rPr>
        <w:t>凡符合条件，自愿申请攻读石油工程双学士学位的学生下载并填写“中国石油大学（北京）双学士学位、外语特色班报名审批表”，务必在5月</w:t>
      </w:r>
      <w:r>
        <w:rPr>
          <w:rFonts w:hint="eastAsia" w:ascii="Times New Roman" w:hAnsi="Times New Roman" w:eastAsia="仿宋_GB2312" w:cs="Times New Roman"/>
          <w:color w:val="000000" w:themeColor="text1"/>
          <w:kern w:val="0"/>
          <w:sz w:val="28"/>
          <w:szCs w:val="28"/>
          <w:lang w:val="en-US" w:eastAsia="zh-CN"/>
        </w:rPr>
        <w:t>7</w:t>
      </w:r>
      <w:r>
        <w:rPr>
          <w:rFonts w:ascii="Times New Roman" w:hAnsi="Times New Roman" w:eastAsia="仿宋_GB2312" w:cs="Times New Roman"/>
          <w:color w:val="000000" w:themeColor="text1"/>
          <w:kern w:val="0"/>
          <w:sz w:val="28"/>
          <w:szCs w:val="28"/>
        </w:rPr>
        <w:t>日</w:t>
      </w:r>
      <w:r>
        <w:rPr>
          <w:rFonts w:hint="eastAsia" w:ascii="Times New Roman" w:hAnsi="Times New Roman" w:eastAsia="仿宋_GB2312" w:cs="Times New Roman"/>
          <w:color w:val="000000" w:themeColor="text1"/>
          <w:kern w:val="0"/>
          <w:sz w:val="28"/>
          <w:szCs w:val="28"/>
          <w:lang w:val="en-US" w:eastAsia="zh-CN"/>
        </w:rPr>
        <w:t>前将</w:t>
      </w:r>
      <w:r>
        <w:rPr>
          <w:rFonts w:ascii="Times New Roman" w:hAnsi="Times New Roman" w:eastAsia="仿宋_GB2312" w:cs="Times New Roman"/>
          <w:color w:val="000000" w:themeColor="text1"/>
          <w:kern w:val="0"/>
          <w:sz w:val="28"/>
          <w:szCs w:val="28"/>
        </w:rPr>
        <w:t>报名表</w:t>
      </w:r>
      <w:r>
        <w:rPr>
          <w:rFonts w:hint="eastAsia" w:ascii="Times New Roman" w:hAnsi="Times New Roman" w:eastAsia="仿宋_GB2312" w:cs="Times New Roman"/>
          <w:color w:val="000000" w:themeColor="text1"/>
          <w:kern w:val="0"/>
          <w:sz w:val="28"/>
          <w:szCs w:val="28"/>
          <w:lang w:val="en-US" w:eastAsia="zh-CN"/>
        </w:rPr>
        <w:t>发至学院邮箱：1905554633@qq.com</w:t>
      </w:r>
      <w:r>
        <w:rPr>
          <w:rFonts w:ascii="Times New Roman" w:hAnsi="Times New Roman" w:eastAsia="仿宋_GB2312" w:cs="Times New Roman"/>
          <w:color w:val="000000" w:themeColor="text1"/>
          <w:kern w:val="0"/>
          <w:sz w:val="28"/>
          <w:szCs w:val="28"/>
        </w:rPr>
        <w:t>；</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2.</w:t>
      </w:r>
      <w:r>
        <w:rPr>
          <w:rFonts w:hint="eastAsia" w:ascii="Times New Roman" w:hAnsi="Times New Roman" w:eastAsia="仿宋_GB2312" w:cs="Times New Roman"/>
          <w:color w:val="000000" w:themeColor="text1"/>
          <w:kern w:val="0"/>
          <w:sz w:val="28"/>
          <w:szCs w:val="28"/>
        </w:rPr>
        <w:t xml:space="preserve"> </w:t>
      </w:r>
      <w:r>
        <w:rPr>
          <w:rFonts w:hint="eastAsia" w:ascii="Times New Roman" w:hAnsi="Times New Roman" w:eastAsia="仿宋_GB2312" w:cs="Times New Roman"/>
          <w:color w:val="000000" w:themeColor="text1"/>
          <w:kern w:val="0"/>
          <w:sz w:val="28"/>
          <w:szCs w:val="28"/>
          <w:lang w:val="en-US" w:eastAsia="zh-CN"/>
        </w:rPr>
        <w:t>5</w:t>
      </w:r>
      <w:r>
        <w:rPr>
          <w:rFonts w:ascii="Times New Roman" w:hAnsi="Times New Roman" w:eastAsia="仿宋_GB2312" w:cs="Times New Roman"/>
          <w:color w:val="000000" w:themeColor="text1"/>
          <w:kern w:val="0"/>
          <w:sz w:val="28"/>
          <w:szCs w:val="28"/>
        </w:rPr>
        <w:t>月</w:t>
      </w:r>
      <w:r>
        <w:rPr>
          <w:rFonts w:hint="eastAsia" w:ascii="Times New Roman" w:hAnsi="Times New Roman" w:eastAsia="仿宋_GB2312" w:cs="Times New Roman"/>
          <w:color w:val="000000" w:themeColor="text1"/>
          <w:kern w:val="0"/>
          <w:sz w:val="28"/>
          <w:szCs w:val="28"/>
          <w:lang w:val="en-US" w:eastAsia="zh-CN"/>
        </w:rPr>
        <w:t>20</w:t>
      </w:r>
      <w:r>
        <w:rPr>
          <w:rFonts w:ascii="Times New Roman" w:hAnsi="Times New Roman" w:eastAsia="仿宋_GB2312" w:cs="Times New Roman"/>
          <w:color w:val="000000" w:themeColor="text1"/>
          <w:kern w:val="0"/>
          <w:sz w:val="28"/>
          <w:szCs w:val="28"/>
        </w:rPr>
        <w:t>日之前，学院对报名学生的资格进行审核，审核结果报送教务处招生与学籍科,</w:t>
      </w:r>
      <w:r>
        <w:rPr>
          <w:rFonts w:hint="eastAsia" w:ascii="Times New Roman" w:hAnsi="Times New Roman" w:eastAsia="仿宋_GB2312" w:cs="Times New Roman"/>
          <w:color w:val="000000" w:themeColor="text1"/>
          <w:kern w:val="0"/>
          <w:sz w:val="28"/>
          <w:szCs w:val="28"/>
          <w:lang w:val="en-US" w:eastAsia="zh-CN"/>
        </w:rPr>
        <w:t>5</w:t>
      </w:r>
      <w:r>
        <w:rPr>
          <w:rFonts w:ascii="Times New Roman" w:hAnsi="Times New Roman" w:eastAsia="仿宋_GB2312" w:cs="Times New Roman"/>
          <w:color w:val="000000" w:themeColor="text1"/>
          <w:kern w:val="0"/>
          <w:sz w:val="28"/>
          <w:szCs w:val="28"/>
        </w:rPr>
        <w:t>月</w:t>
      </w:r>
      <w:r>
        <w:rPr>
          <w:rFonts w:hint="eastAsia" w:ascii="Times New Roman" w:hAnsi="Times New Roman" w:eastAsia="仿宋_GB2312" w:cs="Times New Roman"/>
          <w:color w:val="000000" w:themeColor="text1"/>
          <w:kern w:val="0"/>
          <w:sz w:val="28"/>
          <w:szCs w:val="28"/>
          <w:lang w:val="en-US" w:eastAsia="zh-CN"/>
        </w:rPr>
        <w:t>30</w:t>
      </w:r>
      <w:r>
        <w:rPr>
          <w:rFonts w:ascii="Times New Roman" w:hAnsi="Times New Roman" w:eastAsia="仿宋_GB2312" w:cs="Times New Roman"/>
          <w:color w:val="000000" w:themeColor="text1"/>
          <w:kern w:val="0"/>
          <w:sz w:val="28"/>
          <w:szCs w:val="28"/>
        </w:rPr>
        <w:t>日</w:t>
      </w:r>
      <w:r>
        <w:rPr>
          <w:rFonts w:hint="eastAsia" w:ascii="Times New Roman" w:hAnsi="Times New Roman" w:eastAsia="仿宋_GB2312" w:cs="Times New Roman"/>
          <w:color w:val="000000" w:themeColor="text1"/>
          <w:kern w:val="0"/>
          <w:sz w:val="28"/>
          <w:szCs w:val="28"/>
          <w:lang w:val="en-US" w:eastAsia="zh-CN"/>
        </w:rPr>
        <w:t>之前</w:t>
      </w:r>
      <w:r>
        <w:rPr>
          <w:rFonts w:ascii="Times New Roman" w:hAnsi="Times New Roman" w:eastAsia="仿宋_GB2312" w:cs="Times New Roman"/>
          <w:color w:val="000000" w:themeColor="text1"/>
          <w:kern w:val="0"/>
          <w:sz w:val="28"/>
          <w:szCs w:val="28"/>
        </w:rPr>
        <w:t>教务处公示拟录取学生名单。</w:t>
      </w:r>
    </w:p>
    <w:p>
      <w:pPr>
        <w:adjustRightInd w:val="0"/>
        <w:snapToGrid w:val="0"/>
        <w:spacing w:line="360" w:lineRule="auto"/>
        <w:rPr>
          <w:rFonts w:ascii="Times New Roman" w:hAnsi="Times New Roman" w:eastAsia="仿宋_GB2312" w:cs="Times New Roman"/>
          <w:b/>
          <w:bCs/>
          <w:color w:val="000000" w:themeColor="text1"/>
          <w:kern w:val="0"/>
          <w:sz w:val="28"/>
          <w:szCs w:val="28"/>
        </w:rPr>
      </w:pPr>
      <w:r>
        <w:rPr>
          <w:rFonts w:ascii="Times New Roman" w:hAnsi="Times New Roman" w:eastAsia="仿宋_GB2312" w:cs="Times New Roman"/>
          <w:b/>
          <w:bCs/>
          <w:color w:val="000000" w:themeColor="text1"/>
          <w:kern w:val="0"/>
          <w:sz w:val="28"/>
          <w:szCs w:val="28"/>
        </w:rPr>
        <w:t>七、课程安排及其他相关事项</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1.</w:t>
      </w:r>
      <w:r>
        <w:rPr>
          <w:rFonts w:hint="eastAsia" w:ascii="Times New Roman" w:hAnsi="Times New Roman" w:eastAsia="仿宋_GB2312" w:cs="Times New Roman"/>
          <w:color w:val="000000" w:themeColor="text1"/>
          <w:kern w:val="0"/>
          <w:sz w:val="28"/>
          <w:szCs w:val="28"/>
        </w:rPr>
        <w:t xml:space="preserve"> </w:t>
      </w:r>
      <w:r>
        <w:rPr>
          <w:rFonts w:ascii="Times New Roman" w:hAnsi="Times New Roman" w:eastAsia="仿宋_GB2312" w:cs="Times New Roman"/>
          <w:color w:val="000000" w:themeColor="text1"/>
          <w:kern w:val="0"/>
          <w:sz w:val="28"/>
          <w:szCs w:val="28"/>
        </w:rPr>
        <w:t>20</w:t>
      </w:r>
      <w:r>
        <w:rPr>
          <w:rFonts w:hint="eastAsia" w:ascii="Times New Roman" w:hAnsi="Times New Roman" w:eastAsia="仿宋_GB2312" w:cs="Times New Roman"/>
          <w:color w:val="000000" w:themeColor="text1"/>
          <w:kern w:val="0"/>
          <w:sz w:val="28"/>
          <w:szCs w:val="28"/>
          <w:lang w:val="en-US" w:eastAsia="zh-CN"/>
        </w:rPr>
        <w:t>20</w:t>
      </w:r>
      <w:r>
        <w:rPr>
          <w:rFonts w:ascii="Times New Roman" w:hAnsi="Times New Roman" w:eastAsia="仿宋_GB2312" w:cs="Times New Roman"/>
          <w:color w:val="000000" w:themeColor="text1"/>
          <w:kern w:val="0"/>
          <w:sz w:val="28"/>
          <w:szCs w:val="28"/>
        </w:rPr>
        <w:t>年石油工程双学士学位将执行《石油工程专业双学士学位与辅修20</w:t>
      </w:r>
      <w:r>
        <w:rPr>
          <w:rFonts w:hint="eastAsia" w:ascii="Times New Roman" w:hAnsi="Times New Roman" w:eastAsia="仿宋_GB2312" w:cs="Times New Roman"/>
          <w:color w:val="000000" w:themeColor="text1"/>
          <w:kern w:val="0"/>
          <w:sz w:val="28"/>
          <w:szCs w:val="28"/>
          <w:lang w:val="en-US" w:eastAsia="zh-CN"/>
        </w:rPr>
        <w:t>19</w:t>
      </w:r>
      <w:r>
        <w:rPr>
          <w:rFonts w:ascii="Times New Roman" w:hAnsi="Times New Roman" w:eastAsia="仿宋_GB2312" w:cs="Times New Roman"/>
          <w:color w:val="000000" w:themeColor="text1"/>
          <w:kern w:val="0"/>
          <w:sz w:val="28"/>
          <w:szCs w:val="28"/>
        </w:rPr>
        <w:t>版培养计划》中课程安排及相关规定；</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2.</w:t>
      </w:r>
      <w:r>
        <w:rPr>
          <w:rFonts w:hint="eastAsia" w:ascii="Times New Roman" w:hAnsi="Times New Roman" w:eastAsia="仿宋_GB2312" w:cs="Times New Roman"/>
          <w:color w:val="000000" w:themeColor="text1"/>
          <w:kern w:val="0"/>
          <w:sz w:val="28"/>
          <w:szCs w:val="28"/>
        </w:rPr>
        <w:t xml:space="preserve"> </w:t>
      </w:r>
      <w:r>
        <w:rPr>
          <w:rFonts w:ascii="Times New Roman" w:hAnsi="Times New Roman" w:eastAsia="仿宋_GB2312" w:cs="Times New Roman"/>
          <w:color w:val="000000" w:themeColor="text1"/>
          <w:kern w:val="0"/>
          <w:sz w:val="28"/>
          <w:szCs w:val="28"/>
        </w:rPr>
        <w:t>学生在攻读双学位第一学期初，需要进入教务系统中选定石油工程双学位,此为选课及查看考试成绩的管理系统,并于每学期选课时进入系统选课,若未选课造成成绩不能录用则视为成绩无效。</w:t>
      </w:r>
    </w:p>
    <w:p>
      <w:pPr>
        <w:adjustRightInd w:val="0"/>
        <w:snapToGrid w:val="0"/>
        <w:spacing w:line="360" w:lineRule="auto"/>
        <w:rPr>
          <w:rFonts w:ascii="Times New Roman" w:hAnsi="Times New Roman" w:eastAsia="仿宋_GB2312" w:cs="Times New Roman"/>
          <w:b/>
          <w:bCs/>
          <w:color w:val="000000" w:themeColor="text1"/>
          <w:sz w:val="28"/>
          <w:szCs w:val="28"/>
        </w:rPr>
      </w:pPr>
      <w:r>
        <w:rPr>
          <w:rFonts w:ascii="Times New Roman" w:hAnsi="Times New Roman" w:eastAsia="仿宋_GB2312" w:cs="Times New Roman"/>
          <w:b/>
          <w:bCs/>
          <w:color w:val="000000" w:themeColor="text1"/>
          <w:sz w:val="28"/>
          <w:szCs w:val="28"/>
        </w:rPr>
        <w:t>八、本办法解释权在石油工程学院双学位工作领导小组</w:t>
      </w:r>
    </w:p>
    <w:p>
      <w:pPr>
        <w:jc w:val="both"/>
        <w:rPr>
          <w:rFonts w:ascii="Times New Roman" w:hAnsi="Times New Roman" w:eastAsia="华文仿宋" w:cs="Times New Roman"/>
          <w:color w:val="000000" w:themeColor="text1"/>
          <w:sz w:val="28"/>
        </w:rPr>
      </w:pPr>
    </w:p>
    <w:p>
      <w:pPr>
        <w:jc w:val="both"/>
        <w:rPr>
          <w:rFonts w:ascii="Times New Roman" w:hAnsi="Times New Roman" w:eastAsia="华文仿宋" w:cs="Times New Roman"/>
          <w:color w:val="000000" w:themeColor="text1"/>
          <w:sz w:val="28"/>
        </w:rPr>
      </w:pPr>
    </w:p>
    <w:p>
      <w:pPr>
        <w:jc w:val="right"/>
        <w:rPr>
          <w:rFonts w:ascii="Times New Roman" w:hAnsi="Times New Roman" w:eastAsia="华文仿宋" w:cs="Times New Roman"/>
          <w:color w:val="000000" w:themeColor="text1"/>
          <w:sz w:val="28"/>
        </w:rPr>
      </w:pPr>
      <w:r>
        <w:rPr>
          <w:rFonts w:ascii="Times New Roman" w:hAnsi="Times New Roman" w:eastAsia="华文仿宋" w:cs="Times New Roman"/>
          <w:color w:val="000000" w:themeColor="text1"/>
          <w:sz w:val="28"/>
        </w:rPr>
        <w:t>中国石油大学（北京）石油工程学院</w:t>
      </w:r>
    </w:p>
    <w:p>
      <w:pPr>
        <w:ind w:right="560"/>
        <w:jc w:val="center"/>
        <w:rPr>
          <w:rFonts w:ascii="Times New Roman" w:hAnsi="Times New Roman" w:eastAsia="华文仿宋" w:cs="Times New Roman"/>
          <w:color w:val="000000" w:themeColor="text1"/>
          <w:sz w:val="28"/>
        </w:rPr>
      </w:pPr>
      <w:r>
        <w:rPr>
          <w:rFonts w:ascii="Times New Roman" w:hAnsi="Times New Roman" w:eastAsia="华文仿宋" w:cs="Times New Roman"/>
          <w:color w:val="000000" w:themeColor="text1"/>
          <w:sz w:val="28"/>
        </w:rPr>
        <w:t xml:space="preserve">                                   20</w:t>
      </w:r>
      <w:r>
        <w:rPr>
          <w:rFonts w:hint="eastAsia" w:ascii="Times New Roman" w:hAnsi="Times New Roman" w:eastAsia="华文仿宋" w:cs="Times New Roman"/>
          <w:color w:val="000000" w:themeColor="text1"/>
          <w:sz w:val="28"/>
          <w:lang w:val="en-US" w:eastAsia="zh-CN"/>
        </w:rPr>
        <w:t>20</w:t>
      </w:r>
      <w:r>
        <w:rPr>
          <w:rFonts w:ascii="Times New Roman" w:hAnsi="Times New Roman" w:eastAsia="华文仿宋" w:cs="Times New Roman"/>
          <w:color w:val="000000" w:themeColor="text1"/>
          <w:sz w:val="28"/>
        </w:rPr>
        <w:t>年</w:t>
      </w:r>
      <w:r>
        <w:rPr>
          <w:rFonts w:hint="eastAsia" w:ascii="Times New Roman" w:hAnsi="Times New Roman" w:eastAsia="华文仿宋" w:cs="Times New Roman"/>
          <w:color w:val="000000" w:themeColor="text1"/>
          <w:sz w:val="28"/>
        </w:rPr>
        <w:t>4</w:t>
      </w:r>
      <w:r>
        <w:rPr>
          <w:rFonts w:ascii="Times New Roman" w:hAnsi="Times New Roman" w:eastAsia="华文仿宋" w:cs="Times New Roman"/>
          <w:color w:val="000000" w:themeColor="text1"/>
          <w:sz w:val="28"/>
        </w:rPr>
        <w:t>月</w:t>
      </w:r>
      <w:r>
        <w:rPr>
          <w:rFonts w:hint="eastAsia" w:ascii="Times New Roman" w:hAnsi="Times New Roman" w:eastAsia="华文仿宋" w:cs="Times New Roman"/>
          <w:color w:val="000000" w:themeColor="text1"/>
          <w:sz w:val="28"/>
          <w:lang w:val="en-US" w:eastAsia="zh-CN"/>
        </w:rPr>
        <w:t>21</w:t>
      </w:r>
      <w:r>
        <w:rPr>
          <w:rFonts w:ascii="Times New Roman" w:hAnsi="Times New Roman" w:eastAsia="华文仿宋" w:cs="Times New Roman"/>
          <w:color w:val="000000" w:themeColor="text1"/>
          <w:sz w:val="28"/>
        </w:rPr>
        <w:t>日</w:t>
      </w:r>
    </w:p>
    <w:tbl>
      <w:tblPr>
        <w:tblStyle w:val="12"/>
        <w:tblpPr w:leftFromText="180" w:rightFromText="180" w:vertAnchor="text" w:horzAnchor="margin" w:tblpXSpec="center" w:tblpY="753"/>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30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306" w:type="dxa"/>
            <w:tcBorders>
              <w:top w:val="single" w:color="auto" w:sz="12" w:space="0"/>
            </w:tcBorders>
          </w:tcPr>
          <w:p>
            <w:pPr>
              <w:spacing w:line="480" w:lineRule="exact"/>
              <w:rPr>
                <w:rFonts w:ascii="Times New Roman" w:hAnsi="Times New Roman" w:eastAsia="华文仿宋" w:cs="Times New Roman"/>
                <w:b/>
                <w:color w:val="000000" w:themeColor="text1"/>
                <w:sz w:val="28"/>
              </w:rPr>
            </w:pPr>
            <w:r>
              <w:rPr>
                <w:rFonts w:ascii="Times New Roman" w:hAnsi="Times New Roman" w:eastAsia="华文仿宋" w:cs="Times New Roman"/>
                <w:b/>
                <w:color w:val="000000" w:themeColor="text1"/>
                <w:sz w:val="28"/>
                <w:szCs w:val="28"/>
              </w:rPr>
              <w:t>发学院</w:t>
            </w:r>
            <w:r>
              <w:rPr>
                <w:rFonts w:hint="eastAsia" w:ascii="Times New Roman" w:hAnsi="Times New Roman" w:eastAsia="华文仿宋" w:cs="Times New Roman"/>
                <w:b/>
                <w:color w:val="000000" w:themeColor="text1"/>
                <w:sz w:val="28"/>
                <w:szCs w:val="28"/>
              </w:rPr>
              <w:t>OA公告，挂学院网  抄报：教务处</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306" w:type="dxa"/>
          </w:tcPr>
          <w:p>
            <w:pPr>
              <w:spacing w:line="480" w:lineRule="exact"/>
              <w:rPr>
                <w:rFonts w:ascii="Times New Roman" w:hAnsi="Times New Roman" w:eastAsia="华文仿宋" w:cs="Times New Roman"/>
                <w:b/>
                <w:color w:val="000000" w:themeColor="text1"/>
                <w:sz w:val="28"/>
                <w:szCs w:val="28"/>
              </w:rPr>
            </w:pPr>
            <w:r>
              <w:rPr>
                <w:rFonts w:ascii="Times New Roman" w:hAnsi="Times New Roman" w:eastAsia="华文仿宋" w:cs="Times New Roman"/>
                <w:b/>
                <w:color w:val="000000" w:themeColor="text1"/>
                <w:sz w:val="28"/>
              </w:rPr>
              <w:t>石油工程学院办公室</w:t>
            </w:r>
            <w:r>
              <w:rPr>
                <w:rFonts w:ascii="Times New Roman" w:hAnsi="Times New Roman" w:eastAsia="华文仿宋" w:cs="Times New Roman"/>
                <w:b/>
                <w:color w:val="000000" w:themeColor="text1"/>
                <w:sz w:val="28"/>
                <w:szCs w:val="28"/>
              </w:rPr>
              <w:t xml:space="preserve"> 20</w:t>
            </w:r>
            <w:r>
              <w:rPr>
                <w:rFonts w:hint="eastAsia" w:ascii="Times New Roman" w:hAnsi="Times New Roman" w:eastAsia="华文仿宋" w:cs="Times New Roman"/>
                <w:b/>
                <w:color w:val="000000" w:themeColor="text1"/>
                <w:sz w:val="28"/>
                <w:szCs w:val="28"/>
                <w:lang w:val="en-US" w:eastAsia="zh-CN"/>
              </w:rPr>
              <w:t>20</w:t>
            </w:r>
            <w:r>
              <w:rPr>
                <w:rFonts w:ascii="Times New Roman" w:hAnsi="Times New Roman" w:eastAsia="华文仿宋" w:cs="Times New Roman"/>
                <w:b/>
                <w:color w:val="000000" w:themeColor="text1"/>
                <w:sz w:val="28"/>
                <w:szCs w:val="28"/>
              </w:rPr>
              <w:t>年</w:t>
            </w:r>
            <w:r>
              <w:rPr>
                <w:rFonts w:hint="eastAsia" w:ascii="Times New Roman" w:hAnsi="Times New Roman" w:eastAsia="华文仿宋" w:cs="Times New Roman"/>
                <w:b/>
                <w:color w:val="000000" w:themeColor="text1"/>
                <w:sz w:val="28"/>
                <w:szCs w:val="28"/>
              </w:rPr>
              <w:t>4</w:t>
            </w:r>
            <w:r>
              <w:rPr>
                <w:rFonts w:ascii="Times New Roman" w:hAnsi="Times New Roman" w:eastAsia="华文仿宋" w:cs="Times New Roman"/>
                <w:b/>
                <w:color w:val="000000" w:themeColor="text1"/>
                <w:sz w:val="28"/>
                <w:szCs w:val="28"/>
              </w:rPr>
              <w:t>月</w:t>
            </w:r>
            <w:r>
              <w:rPr>
                <w:rFonts w:hint="eastAsia" w:ascii="Times New Roman" w:hAnsi="Times New Roman" w:eastAsia="华文仿宋" w:cs="Times New Roman"/>
                <w:b/>
                <w:color w:val="000000" w:themeColor="text1"/>
                <w:sz w:val="28"/>
                <w:szCs w:val="28"/>
                <w:lang w:val="en-US" w:eastAsia="zh-CN"/>
              </w:rPr>
              <w:t>21</w:t>
            </w:r>
            <w:r>
              <w:rPr>
                <w:rFonts w:ascii="Times New Roman" w:hAnsi="Times New Roman" w:eastAsia="华文仿宋" w:cs="Times New Roman"/>
                <w:b/>
                <w:color w:val="000000" w:themeColor="text1"/>
                <w:sz w:val="28"/>
                <w:szCs w:val="28"/>
              </w:rPr>
              <w:t>日印发</w:t>
            </w:r>
          </w:p>
        </w:tc>
      </w:tr>
    </w:tbl>
    <w:p>
      <w:pPr>
        <w:widowControl/>
        <w:rPr>
          <w:color w:val="000000" w:themeColor="text1"/>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等线 Light">
    <w:panose1 w:val="02010600030101010101"/>
    <w:charset w:val="86"/>
    <w:family w:val="auto"/>
    <w:pitch w:val="default"/>
    <w:sig w:usb0="A00002BF" w:usb1="38CF7CFA" w:usb2="00000016" w:usb3="00000000" w:csb0="0004000F" w:csb1="00000000"/>
  </w:font>
  <w:font w:name="方正姚体">
    <w:panose1 w:val="02010601030101010101"/>
    <w:charset w:val="86"/>
    <w:family w:val="auto"/>
    <w:pitch w:val="default"/>
    <w:sig w:usb0="00000003"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5904089"/>
      <w:docPartObj>
        <w:docPartGallery w:val="autotext"/>
      </w:docPartObj>
    </w:sdtPr>
    <w:sdtEndPr>
      <w:rPr>
        <w:rFonts w:ascii="Times New Roman" w:hAnsi="Times New Roman" w:cs="Times New Roman"/>
      </w:rPr>
    </w:sdtEndPr>
    <w:sdtContent>
      <w:p>
        <w:pPr>
          <w:pStyle w:val="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w:t>
        </w:r>
        <w:r>
          <w:rPr>
            <w:rFonts w:ascii="Times New Roman" w:hAnsi="Times New Roman" w:cs="Times New Roman"/>
          </w:rPr>
          <w:fldChar w:fldCharType="end"/>
        </w:r>
      </w:p>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87D93"/>
    <w:multiLevelType w:val="multilevel"/>
    <w:tmpl w:val="15587D93"/>
    <w:lvl w:ilvl="0" w:tentative="0">
      <w:start w:val="1"/>
      <w:numFmt w:val="japaneseCounting"/>
      <w:lvlText w:val="%1、"/>
      <w:lvlJc w:val="left"/>
      <w:pPr>
        <w:ind w:left="720" w:hanging="720"/>
      </w:pPr>
      <w:rPr>
        <w:rFonts w:hint="default" w:cs="仿宋_GB2312"/>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E3356"/>
    <w:rsid w:val="000039B8"/>
    <w:rsid w:val="00016829"/>
    <w:rsid w:val="0002683D"/>
    <w:rsid w:val="00033803"/>
    <w:rsid w:val="0004062A"/>
    <w:rsid w:val="00040C04"/>
    <w:rsid w:val="00042739"/>
    <w:rsid w:val="00045976"/>
    <w:rsid w:val="00051780"/>
    <w:rsid w:val="0007649C"/>
    <w:rsid w:val="00096ED1"/>
    <w:rsid w:val="000970DD"/>
    <w:rsid w:val="000C48CF"/>
    <w:rsid w:val="000D0901"/>
    <w:rsid w:val="000E132A"/>
    <w:rsid w:val="00100F09"/>
    <w:rsid w:val="00110116"/>
    <w:rsid w:val="001131E4"/>
    <w:rsid w:val="00123D5A"/>
    <w:rsid w:val="001345CE"/>
    <w:rsid w:val="00142B92"/>
    <w:rsid w:val="001471B8"/>
    <w:rsid w:val="001507B4"/>
    <w:rsid w:val="00151DD2"/>
    <w:rsid w:val="0015509D"/>
    <w:rsid w:val="00167CF4"/>
    <w:rsid w:val="001838AA"/>
    <w:rsid w:val="001850F4"/>
    <w:rsid w:val="001D0EB1"/>
    <w:rsid w:val="001D6CA1"/>
    <w:rsid w:val="001F080F"/>
    <w:rsid w:val="001F335D"/>
    <w:rsid w:val="00200694"/>
    <w:rsid w:val="002254B4"/>
    <w:rsid w:val="002262BC"/>
    <w:rsid w:val="00253830"/>
    <w:rsid w:val="002706BC"/>
    <w:rsid w:val="00296A3C"/>
    <w:rsid w:val="002A083B"/>
    <w:rsid w:val="002D07D4"/>
    <w:rsid w:val="002D2ABD"/>
    <w:rsid w:val="002D31CF"/>
    <w:rsid w:val="002D6499"/>
    <w:rsid w:val="003327DC"/>
    <w:rsid w:val="0034097F"/>
    <w:rsid w:val="00341DDF"/>
    <w:rsid w:val="00367797"/>
    <w:rsid w:val="00367A84"/>
    <w:rsid w:val="003722D7"/>
    <w:rsid w:val="0037681F"/>
    <w:rsid w:val="00384D23"/>
    <w:rsid w:val="00395914"/>
    <w:rsid w:val="003A0897"/>
    <w:rsid w:val="003C59BF"/>
    <w:rsid w:val="003D00B9"/>
    <w:rsid w:val="003D32A1"/>
    <w:rsid w:val="003F0EA8"/>
    <w:rsid w:val="00402C81"/>
    <w:rsid w:val="00420F65"/>
    <w:rsid w:val="00450F60"/>
    <w:rsid w:val="004546D8"/>
    <w:rsid w:val="004602F2"/>
    <w:rsid w:val="00460CD2"/>
    <w:rsid w:val="00483E0D"/>
    <w:rsid w:val="004A634B"/>
    <w:rsid w:val="004B0124"/>
    <w:rsid w:val="004C1E46"/>
    <w:rsid w:val="004C30C8"/>
    <w:rsid w:val="004F1E4A"/>
    <w:rsid w:val="004F4062"/>
    <w:rsid w:val="00522961"/>
    <w:rsid w:val="005338A1"/>
    <w:rsid w:val="005346CD"/>
    <w:rsid w:val="00542F3E"/>
    <w:rsid w:val="005624F2"/>
    <w:rsid w:val="00575CDC"/>
    <w:rsid w:val="00576386"/>
    <w:rsid w:val="00584D2B"/>
    <w:rsid w:val="005B7E61"/>
    <w:rsid w:val="005C37A1"/>
    <w:rsid w:val="005D2FF0"/>
    <w:rsid w:val="005E3356"/>
    <w:rsid w:val="005F5A94"/>
    <w:rsid w:val="006123BD"/>
    <w:rsid w:val="00616C66"/>
    <w:rsid w:val="00622286"/>
    <w:rsid w:val="00637795"/>
    <w:rsid w:val="006B1CEC"/>
    <w:rsid w:val="006C6031"/>
    <w:rsid w:val="006E2FF6"/>
    <w:rsid w:val="006F451E"/>
    <w:rsid w:val="006F707E"/>
    <w:rsid w:val="00712149"/>
    <w:rsid w:val="00725C5F"/>
    <w:rsid w:val="0074174D"/>
    <w:rsid w:val="00742D22"/>
    <w:rsid w:val="00746FB7"/>
    <w:rsid w:val="00761EBE"/>
    <w:rsid w:val="00770D8D"/>
    <w:rsid w:val="0077318B"/>
    <w:rsid w:val="00784245"/>
    <w:rsid w:val="00785AB5"/>
    <w:rsid w:val="007A07AC"/>
    <w:rsid w:val="007B47B3"/>
    <w:rsid w:val="007C3360"/>
    <w:rsid w:val="007E7C39"/>
    <w:rsid w:val="00801F45"/>
    <w:rsid w:val="00811D55"/>
    <w:rsid w:val="008306CE"/>
    <w:rsid w:val="008341B0"/>
    <w:rsid w:val="00844404"/>
    <w:rsid w:val="008565E2"/>
    <w:rsid w:val="008705A8"/>
    <w:rsid w:val="00876B76"/>
    <w:rsid w:val="00880409"/>
    <w:rsid w:val="008A7294"/>
    <w:rsid w:val="008C0D58"/>
    <w:rsid w:val="008C6647"/>
    <w:rsid w:val="009004D3"/>
    <w:rsid w:val="00904A9A"/>
    <w:rsid w:val="00923D28"/>
    <w:rsid w:val="00941BE7"/>
    <w:rsid w:val="00944EFF"/>
    <w:rsid w:val="00947F93"/>
    <w:rsid w:val="00952106"/>
    <w:rsid w:val="00956695"/>
    <w:rsid w:val="00966499"/>
    <w:rsid w:val="0098438D"/>
    <w:rsid w:val="009B701D"/>
    <w:rsid w:val="009D4494"/>
    <w:rsid w:val="009F3EC6"/>
    <w:rsid w:val="009F41DB"/>
    <w:rsid w:val="009F477A"/>
    <w:rsid w:val="00A20ECF"/>
    <w:rsid w:val="00A21F6E"/>
    <w:rsid w:val="00A23BB3"/>
    <w:rsid w:val="00A72E8F"/>
    <w:rsid w:val="00A73AD7"/>
    <w:rsid w:val="00A82D9E"/>
    <w:rsid w:val="00AA3228"/>
    <w:rsid w:val="00AF6765"/>
    <w:rsid w:val="00B01B4B"/>
    <w:rsid w:val="00B218EB"/>
    <w:rsid w:val="00B24164"/>
    <w:rsid w:val="00B326CD"/>
    <w:rsid w:val="00B36543"/>
    <w:rsid w:val="00B450C2"/>
    <w:rsid w:val="00B47605"/>
    <w:rsid w:val="00B5288E"/>
    <w:rsid w:val="00B62974"/>
    <w:rsid w:val="00B74723"/>
    <w:rsid w:val="00BB015F"/>
    <w:rsid w:val="00BF7F4B"/>
    <w:rsid w:val="00C16235"/>
    <w:rsid w:val="00C25C21"/>
    <w:rsid w:val="00C464B7"/>
    <w:rsid w:val="00C9558D"/>
    <w:rsid w:val="00CB153B"/>
    <w:rsid w:val="00CC211F"/>
    <w:rsid w:val="00CC528C"/>
    <w:rsid w:val="00CC688F"/>
    <w:rsid w:val="00CE1B2D"/>
    <w:rsid w:val="00CF68B8"/>
    <w:rsid w:val="00D057CB"/>
    <w:rsid w:val="00D14F91"/>
    <w:rsid w:val="00D3603F"/>
    <w:rsid w:val="00D45E34"/>
    <w:rsid w:val="00D5713A"/>
    <w:rsid w:val="00D77B82"/>
    <w:rsid w:val="00D83FB4"/>
    <w:rsid w:val="00D87568"/>
    <w:rsid w:val="00DA1988"/>
    <w:rsid w:val="00DC4ECA"/>
    <w:rsid w:val="00DF1C77"/>
    <w:rsid w:val="00E03424"/>
    <w:rsid w:val="00E33BDC"/>
    <w:rsid w:val="00E35B81"/>
    <w:rsid w:val="00E51656"/>
    <w:rsid w:val="00E535C2"/>
    <w:rsid w:val="00E64965"/>
    <w:rsid w:val="00E66DED"/>
    <w:rsid w:val="00E767A5"/>
    <w:rsid w:val="00E83C34"/>
    <w:rsid w:val="00EA07BD"/>
    <w:rsid w:val="00EA12C9"/>
    <w:rsid w:val="00EB19EB"/>
    <w:rsid w:val="00EB4F13"/>
    <w:rsid w:val="00EC6B6E"/>
    <w:rsid w:val="00F034DE"/>
    <w:rsid w:val="00F1402B"/>
    <w:rsid w:val="00F21987"/>
    <w:rsid w:val="00F21B4D"/>
    <w:rsid w:val="00F22B33"/>
    <w:rsid w:val="00F256D1"/>
    <w:rsid w:val="00F534A4"/>
    <w:rsid w:val="00F702ED"/>
    <w:rsid w:val="00F77FD9"/>
    <w:rsid w:val="00F86766"/>
    <w:rsid w:val="00F86E4B"/>
    <w:rsid w:val="00FB5D64"/>
    <w:rsid w:val="00FC5E90"/>
    <w:rsid w:val="00FC66F8"/>
    <w:rsid w:val="00FD44BA"/>
    <w:rsid w:val="00FE118F"/>
    <w:rsid w:val="00FF2F21"/>
    <w:rsid w:val="22AB09E2"/>
    <w:rsid w:val="3BE60EE6"/>
    <w:rsid w:val="4F0F12D9"/>
    <w:rsid w:val="716027A0"/>
    <w:rsid w:val="72702C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spacing w:line="360" w:lineRule="auto"/>
      <w:jc w:val="left"/>
      <w:outlineLvl w:val="0"/>
    </w:pPr>
    <w:rPr>
      <w:rFonts w:ascii="仿宋_GB2312" w:eastAsia="仿宋_GB2312" w:cs="仿宋_GB2312"/>
      <w:b/>
      <w:kern w:val="0"/>
      <w:sz w:val="32"/>
      <w:szCs w:val="32"/>
    </w:rPr>
  </w:style>
  <w:style w:type="paragraph" w:styleId="3">
    <w:name w:val="heading 2"/>
    <w:basedOn w:val="1"/>
    <w:next w:val="1"/>
    <w:link w:val="21"/>
    <w:unhideWhenUsed/>
    <w:qFormat/>
    <w:uiPriority w:val="0"/>
    <w:pPr>
      <w:pBdr>
        <w:bottom w:val="single" w:color="auto" w:sz="18" w:space="8"/>
      </w:pBdr>
      <w:spacing w:line="280" w:lineRule="atLeast"/>
      <w:jc w:val="center"/>
      <w:outlineLvl w:val="1"/>
    </w:pPr>
    <w:rPr>
      <w:rFonts w:ascii="黑体" w:hAnsi="黑体" w:eastAsia="黑体"/>
      <w:color w:val="000000"/>
      <w:sz w:val="28"/>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4">
    <w:name w:val="Body Text"/>
    <w:basedOn w:val="1"/>
    <w:link w:val="18"/>
    <w:uiPriority w:val="0"/>
    <w:pPr>
      <w:spacing w:after="120"/>
    </w:pPr>
    <w:rPr>
      <w:rFonts w:ascii="Times New Roman" w:hAnsi="Times New Roman" w:eastAsia="宋体" w:cs="Times New Roman"/>
      <w:szCs w:val="24"/>
    </w:rPr>
  </w:style>
  <w:style w:type="paragraph" w:styleId="5">
    <w:name w:val="Date"/>
    <w:basedOn w:val="1"/>
    <w:next w:val="1"/>
    <w:link w:val="28"/>
    <w:semiHidden/>
    <w:unhideWhenUsed/>
    <w:uiPriority w:val="99"/>
    <w:pPr>
      <w:ind w:left="100" w:leftChars="2500"/>
    </w:pPr>
  </w:style>
  <w:style w:type="paragraph" w:styleId="6">
    <w:name w:val="Balloon Text"/>
    <w:basedOn w:val="1"/>
    <w:link w:val="16"/>
    <w:semiHidden/>
    <w:unhideWhenUsed/>
    <w:uiPriority w:val="99"/>
    <w:rPr>
      <w:rFonts w:ascii="Times New Roman" w:hAnsi="Times New Roman" w:eastAsia="宋体" w:cs="Times New Roman"/>
      <w:sz w:val="18"/>
      <w:szCs w:val="18"/>
    </w:rPr>
  </w:style>
  <w:style w:type="paragraph" w:styleId="7">
    <w:name w:val="footer"/>
    <w:basedOn w:val="1"/>
    <w:link w:val="25"/>
    <w:unhideWhenUsed/>
    <w:uiPriority w:val="99"/>
    <w:pPr>
      <w:tabs>
        <w:tab w:val="center" w:pos="4153"/>
        <w:tab w:val="right" w:pos="8306"/>
      </w:tabs>
      <w:snapToGrid w:val="0"/>
      <w:jc w:val="left"/>
    </w:pPr>
    <w:rPr>
      <w:sz w:val="18"/>
      <w:szCs w:val="18"/>
    </w:rPr>
  </w:style>
  <w:style w:type="paragraph" w:styleId="8">
    <w:name w:val="header"/>
    <w:basedOn w:val="1"/>
    <w:link w:val="24"/>
    <w:unhideWhenUsed/>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uiPriority w:val="39"/>
  </w:style>
  <w:style w:type="paragraph" w:styleId="10">
    <w:name w:val="toc 2"/>
    <w:basedOn w:val="1"/>
    <w:next w:val="1"/>
    <w:unhideWhenUsed/>
    <w:qFormat/>
    <w:uiPriority w:val="39"/>
    <w:pPr>
      <w:ind w:left="420" w:leftChars="200"/>
    </w:pPr>
  </w:style>
  <w:style w:type="paragraph" w:styleId="11">
    <w:name w:val="Normal (Web)"/>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4"/>
      <w:szCs w:val="24"/>
    </w:rPr>
  </w:style>
  <w:style w:type="character" w:styleId="14">
    <w:name w:val="Hyperlink"/>
    <w:basedOn w:val="13"/>
    <w:unhideWhenUsed/>
    <w:qFormat/>
    <w:uiPriority w:val="99"/>
    <w:rPr>
      <w:color w:val="0563C1" w:themeColor="hyperlink"/>
      <w:u w:val="single"/>
    </w:rPr>
  </w:style>
  <w:style w:type="character" w:customStyle="1" w:styleId="15">
    <w:name w:val="批注框文本 字符"/>
    <w:basedOn w:val="13"/>
    <w:semiHidden/>
    <w:qFormat/>
    <w:uiPriority w:val="99"/>
    <w:rPr>
      <w:sz w:val="18"/>
      <w:szCs w:val="18"/>
    </w:rPr>
  </w:style>
  <w:style w:type="character" w:customStyle="1" w:styleId="16">
    <w:name w:val="批注框文本 Char"/>
    <w:basedOn w:val="13"/>
    <w:link w:val="6"/>
    <w:semiHidden/>
    <w:qFormat/>
    <w:uiPriority w:val="99"/>
    <w:rPr>
      <w:rFonts w:ascii="Times New Roman" w:hAnsi="Times New Roman" w:eastAsia="宋体" w:cs="Times New Roman"/>
      <w:sz w:val="18"/>
      <w:szCs w:val="18"/>
    </w:rPr>
  </w:style>
  <w:style w:type="paragraph" w:styleId="17">
    <w:name w:val="List Paragraph"/>
    <w:basedOn w:val="1"/>
    <w:qFormat/>
    <w:uiPriority w:val="99"/>
    <w:pPr>
      <w:ind w:firstLine="420" w:firstLineChars="200"/>
    </w:pPr>
    <w:rPr>
      <w:rFonts w:ascii="Calibri" w:hAnsi="Calibri" w:eastAsia="宋体" w:cs="Times New Roman"/>
    </w:rPr>
  </w:style>
  <w:style w:type="character" w:customStyle="1" w:styleId="18">
    <w:name w:val="正文文本 Char1"/>
    <w:basedOn w:val="13"/>
    <w:link w:val="4"/>
    <w:qFormat/>
    <w:uiPriority w:val="0"/>
    <w:rPr>
      <w:rFonts w:ascii="Times New Roman" w:hAnsi="Times New Roman" w:eastAsia="宋体" w:cs="Times New Roman"/>
      <w:szCs w:val="24"/>
    </w:rPr>
  </w:style>
  <w:style w:type="character" w:customStyle="1" w:styleId="19">
    <w:name w:val="正文文本 Char"/>
    <w:qFormat/>
    <w:uiPriority w:val="0"/>
    <w:rPr>
      <w:kern w:val="2"/>
      <w:sz w:val="21"/>
      <w:szCs w:val="24"/>
    </w:rPr>
  </w:style>
  <w:style w:type="character" w:customStyle="1" w:styleId="20">
    <w:name w:val="标题 1 Char"/>
    <w:basedOn w:val="13"/>
    <w:link w:val="2"/>
    <w:qFormat/>
    <w:uiPriority w:val="9"/>
    <w:rPr>
      <w:rFonts w:ascii="仿宋_GB2312" w:eastAsia="仿宋_GB2312" w:cs="仿宋_GB2312"/>
      <w:b/>
      <w:kern w:val="0"/>
      <w:sz w:val="32"/>
      <w:szCs w:val="32"/>
    </w:rPr>
  </w:style>
  <w:style w:type="character" w:customStyle="1" w:styleId="21">
    <w:name w:val="标题 2 Char1"/>
    <w:basedOn w:val="13"/>
    <w:link w:val="3"/>
    <w:qFormat/>
    <w:uiPriority w:val="0"/>
    <w:rPr>
      <w:rFonts w:ascii="黑体" w:hAnsi="黑体" w:eastAsia="黑体"/>
      <w:color w:val="000000"/>
      <w:sz w:val="28"/>
    </w:rPr>
  </w:style>
  <w:style w:type="paragraph" w:customStyle="1" w:styleId="22">
    <w:name w:val="TOC Heading"/>
    <w:basedOn w:val="2"/>
    <w:next w:val="1"/>
    <w:unhideWhenUsed/>
    <w:qFormat/>
    <w:uiPriority w:val="39"/>
    <w:pPr>
      <w:keepNext/>
      <w:keepLines/>
      <w:widowControl/>
      <w:spacing w:before="240" w:line="259" w:lineRule="auto"/>
      <w:outlineLvl w:val="9"/>
    </w:pPr>
    <w:rPr>
      <w:rFonts w:asciiTheme="majorHAnsi" w:hAnsiTheme="majorHAnsi" w:eastAsiaTheme="majorEastAsia" w:cstheme="majorBidi"/>
      <w:b w:val="0"/>
      <w:color w:val="2E75B5" w:themeColor="accent1" w:themeShade="BF"/>
    </w:rPr>
  </w:style>
  <w:style w:type="character" w:customStyle="1" w:styleId="23">
    <w:name w:val="标题 2 Char"/>
    <w:qFormat/>
    <w:uiPriority w:val="0"/>
    <w:rPr>
      <w:rFonts w:ascii="Arial" w:hAnsi="Arial" w:eastAsia="黑体" w:cs="Times New Roman"/>
      <w:b/>
      <w:bCs/>
      <w:sz w:val="32"/>
      <w:szCs w:val="32"/>
    </w:rPr>
  </w:style>
  <w:style w:type="character" w:customStyle="1" w:styleId="24">
    <w:name w:val="页眉 Char"/>
    <w:basedOn w:val="13"/>
    <w:link w:val="8"/>
    <w:qFormat/>
    <w:uiPriority w:val="99"/>
    <w:rPr>
      <w:sz w:val="18"/>
      <w:szCs w:val="18"/>
    </w:rPr>
  </w:style>
  <w:style w:type="character" w:customStyle="1" w:styleId="25">
    <w:name w:val="页脚 Char"/>
    <w:basedOn w:val="13"/>
    <w:link w:val="7"/>
    <w:qFormat/>
    <w:uiPriority w:val="99"/>
    <w:rPr>
      <w:sz w:val="18"/>
      <w:szCs w:val="18"/>
    </w:rPr>
  </w:style>
  <w:style w:type="paragraph" w:styleId="26">
    <w:name w:val="No Spacing"/>
    <w:link w:val="27"/>
    <w:qFormat/>
    <w:uiPriority w:val="1"/>
    <w:rPr>
      <w:rFonts w:asciiTheme="minorHAnsi" w:hAnsiTheme="minorHAnsi" w:eastAsiaTheme="minorEastAsia" w:cstheme="minorBidi"/>
      <w:kern w:val="0"/>
      <w:sz w:val="22"/>
      <w:szCs w:val="22"/>
      <w:lang w:val="en-US" w:eastAsia="zh-CN" w:bidi="ar-SA"/>
    </w:rPr>
  </w:style>
  <w:style w:type="character" w:customStyle="1" w:styleId="27">
    <w:name w:val="无间隔 Char"/>
    <w:basedOn w:val="13"/>
    <w:link w:val="26"/>
    <w:qFormat/>
    <w:uiPriority w:val="1"/>
    <w:rPr>
      <w:kern w:val="0"/>
      <w:sz w:val="22"/>
    </w:rPr>
  </w:style>
  <w:style w:type="character" w:customStyle="1" w:styleId="28">
    <w:name w:val="日期 Char"/>
    <w:basedOn w:val="13"/>
    <w:link w:val="5"/>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verPageProperties xmlns="http://schemas.microsoft.com/office/2006/coverPageProps">
  <PublishDate>2016-10-31T00:00:00</PublishDate>
  <Abstract/>
  <CompanyAddress/>
  <CompanyPhone/>
  <CompanyFax/>
  <CompanyEmail/>
</CoverPag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E5C7F1-3222-4F7A-B87F-4E8E3EE26EC0}">
  <ds:schemaRefs/>
</ds:datastoreItem>
</file>

<file path=customXml/itemProps3.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Company>中国石油大学（北京）石油工程学院</Company>
  <Pages>4</Pages>
  <Words>246</Words>
  <Characters>1407</Characters>
  <Lines>11</Lines>
  <Paragraphs>3</Paragraphs>
  <TotalTime>10</TotalTime>
  <ScaleCrop>false</ScaleCrop>
  <LinksUpToDate>false</LinksUpToDate>
  <CharactersWithSpaces>1650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2017-05-06T03:45:00Z</dcterms:created>
  <dc:creator>石油工程学院</dc:creator>
  <cp:lastModifiedBy>徐鹏</cp:lastModifiedBy>
  <cp:lastPrinted>2017-04-09T09:29:00Z</cp:lastPrinted>
  <dcterms:modified xsi:type="dcterms:W3CDTF">2020-04-21T07:10:19Z</dcterms:modified>
  <dc:title>2011-2016石油工程学院本科教学管理文件</dc:title>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